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3416"/>
        <w:gridCol w:w="4536"/>
      </w:tblGrid>
      <w:tr w:rsidR="00325422" w:rsidRPr="004D621E" w14:paraId="17839006"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4536"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72666F">
        <w:trPr>
          <w:trHeight w:val="218"/>
        </w:trPr>
        <w:tc>
          <w:tcPr>
            <w:tcW w:w="4921"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4536" w:type="dxa"/>
            <w:tcBorders>
              <w:top w:val="single" w:sz="4" w:space="0" w:color="000000"/>
              <w:left w:val="single" w:sz="4" w:space="0" w:color="000000"/>
              <w:bottom w:val="single" w:sz="4" w:space="0" w:color="000000"/>
              <w:right w:val="single" w:sz="4" w:space="0" w:color="000000"/>
            </w:tcBorders>
          </w:tcPr>
          <w:p w14:paraId="7B01285B" w14:textId="7ED8F8F9" w:rsidR="00325422" w:rsidRPr="004D621E" w:rsidRDefault="00325422" w:rsidP="004D621E">
            <w:pPr>
              <w:spacing w:after="0" w:line="276" w:lineRule="auto"/>
              <w:ind w:left="1" w:firstLine="0"/>
            </w:pPr>
            <w:r w:rsidRPr="004D621E">
              <w:t xml:space="preserve"> </w:t>
            </w:r>
            <w:r w:rsidR="0072666F" w:rsidRPr="00724070">
              <w:rPr>
                <w:b/>
                <w:szCs w:val="18"/>
              </w:rPr>
              <w:t>Consumer Behavior</w:t>
            </w:r>
          </w:p>
        </w:tc>
      </w:tr>
      <w:tr w:rsidR="00325422" w:rsidRPr="004D621E" w14:paraId="3EBB86AA"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4536" w:type="dxa"/>
            <w:tcBorders>
              <w:top w:val="single" w:sz="4" w:space="0" w:color="000000"/>
              <w:left w:val="single" w:sz="4" w:space="0" w:color="000000"/>
              <w:bottom w:val="single" w:sz="4" w:space="0" w:color="000000"/>
              <w:right w:val="single" w:sz="4" w:space="0" w:color="000000"/>
            </w:tcBorders>
          </w:tcPr>
          <w:p w14:paraId="4C323F84" w14:textId="6CDFB36E" w:rsidR="00325422" w:rsidRPr="004D621E" w:rsidRDefault="00325422" w:rsidP="004D621E">
            <w:pPr>
              <w:spacing w:after="0" w:line="276" w:lineRule="auto"/>
              <w:ind w:left="1" w:firstLine="0"/>
            </w:pPr>
            <w:r w:rsidRPr="004D621E">
              <w:t xml:space="preserve"> </w:t>
            </w:r>
            <w:r w:rsidR="0072666F">
              <w:t>Faculty of Management</w:t>
            </w:r>
          </w:p>
        </w:tc>
      </w:tr>
      <w:tr w:rsidR="00325422" w:rsidRPr="004D621E" w14:paraId="595A40A2" w14:textId="77777777" w:rsidTr="0072666F">
        <w:trPr>
          <w:trHeight w:val="217"/>
        </w:trPr>
        <w:tc>
          <w:tcPr>
            <w:tcW w:w="4921"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4536" w:type="dxa"/>
            <w:tcBorders>
              <w:top w:val="single" w:sz="4" w:space="0" w:color="000000"/>
              <w:left w:val="single" w:sz="4" w:space="0" w:color="000000"/>
              <w:bottom w:val="single" w:sz="4" w:space="0" w:color="000000"/>
              <w:right w:val="single" w:sz="4" w:space="0" w:color="000000"/>
            </w:tcBorders>
          </w:tcPr>
          <w:p w14:paraId="576F0687" w14:textId="65DDC749" w:rsidR="00325422" w:rsidRPr="004D621E" w:rsidRDefault="00325422" w:rsidP="004D621E">
            <w:pPr>
              <w:spacing w:after="0" w:line="276" w:lineRule="auto"/>
              <w:ind w:left="1" w:firstLine="0"/>
              <w:rPr>
                <w:lang w:val="en-GB"/>
              </w:rPr>
            </w:pPr>
            <w:r w:rsidRPr="004D621E">
              <w:rPr>
                <w:lang w:val="en-GB"/>
              </w:rPr>
              <w:t xml:space="preserve"> </w:t>
            </w:r>
            <w:r w:rsidR="0072666F">
              <w:rPr>
                <w:lang w:val="en-GB"/>
              </w:rPr>
              <w:t>Faculty of Management</w:t>
            </w:r>
          </w:p>
        </w:tc>
      </w:tr>
      <w:tr w:rsidR="00325422" w:rsidRPr="004D621E" w14:paraId="6E85B401" w14:textId="77777777" w:rsidTr="0072666F">
        <w:trPr>
          <w:trHeight w:val="214"/>
        </w:trPr>
        <w:tc>
          <w:tcPr>
            <w:tcW w:w="4921"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4536"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474B68EF" w:rsidR="00325422" w:rsidRPr="004D621E" w:rsidRDefault="00325422" w:rsidP="004D621E">
            <w:pPr>
              <w:spacing w:after="0" w:line="276" w:lineRule="auto"/>
              <w:ind w:left="1" w:firstLine="0"/>
            </w:pPr>
            <w:r w:rsidRPr="004D621E">
              <w:t xml:space="preserve"> </w:t>
            </w:r>
            <w:r w:rsidR="007F5934" w:rsidRPr="007F5934">
              <w:t>2600-IBP-CB</w:t>
            </w:r>
          </w:p>
        </w:tc>
      </w:tr>
      <w:tr w:rsidR="00325422" w:rsidRPr="004D621E" w14:paraId="2A48BBA1" w14:textId="77777777" w:rsidTr="0072666F">
        <w:trPr>
          <w:trHeight w:val="220"/>
        </w:trPr>
        <w:tc>
          <w:tcPr>
            <w:tcW w:w="4921"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4536"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72666F">
        <w:trPr>
          <w:trHeight w:val="215"/>
        </w:trPr>
        <w:tc>
          <w:tcPr>
            <w:tcW w:w="4921"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4536"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4D621E" w14:paraId="25593A25" w14:textId="77777777" w:rsidTr="0072666F">
        <w:trPr>
          <w:trHeight w:val="217"/>
        </w:trPr>
        <w:tc>
          <w:tcPr>
            <w:tcW w:w="4921"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3202829B"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16B3CC5B"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4536" w:type="dxa"/>
            <w:tcBorders>
              <w:top w:val="single" w:sz="4" w:space="0" w:color="000000"/>
              <w:left w:val="single" w:sz="4" w:space="0" w:color="000000"/>
              <w:bottom w:val="single" w:sz="4" w:space="0" w:color="000000"/>
              <w:right w:val="single" w:sz="4" w:space="0" w:color="000000"/>
            </w:tcBorders>
          </w:tcPr>
          <w:p w14:paraId="208E85E8" w14:textId="31076C01" w:rsidR="00325422" w:rsidRPr="004D621E" w:rsidRDefault="00325422" w:rsidP="004D621E">
            <w:pPr>
              <w:spacing w:after="0" w:line="276" w:lineRule="auto"/>
              <w:ind w:left="1" w:firstLine="0"/>
            </w:pPr>
            <w:r w:rsidRPr="004D621E">
              <w:t xml:space="preserve"> </w:t>
            </w:r>
            <w:r w:rsidR="0072666F">
              <w:t>The subject matter encompasses the realm of consumer behavior, addressing topics surrounding consumer decision-making processes and the external and internal factors influencing these processes. The course also emphasizes the influence of marketing activities on consumer behavior.</w:t>
            </w:r>
          </w:p>
        </w:tc>
      </w:tr>
      <w:tr w:rsidR="00325422" w:rsidRPr="004D621E" w14:paraId="6ABCC11F"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4536" w:type="dxa"/>
            <w:tcBorders>
              <w:top w:val="single" w:sz="4" w:space="0" w:color="000000"/>
              <w:left w:val="single" w:sz="4" w:space="0" w:color="000000"/>
              <w:bottom w:val="single" w:sz="4" w:space="0" w:color="000000"/>
              <w:right w:val="single" w:sz="4" w:space="0" w:color="000000"/>
            </w:tcBorders>
          </w:tcPr>
          <w:p w14:paraId="242641F3" w14:textId="3225CBD1" w:rsidR="00325422" w:rsidRPr="004D621E" w:rsidRDefault="00325422" w:rsidP="0072666F">
            <w:pPr>
              <w:pStyle w:val="Akapitzlist"/>
              <w:spacing w:after="0" w:line="276" w:lineRule="auto"/>
              <w:ind w:left="1069"/>
            </w:pPr>
          </w:p>
        </w:tc>
      </w:tr>
      <w:tr w:rsidR="00325422" w:rsidRPr="004D621E" w14:paraId="6F2D4A9A" w14:textId="77777777" w:rsidTr="0072666F">
        <w:trPr>
          <w:trHeight w:val="218"/>
        </w:trPr>
        <w:tc>
          <w:tcPr>
            <w:tcW w:w="4921"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4536" w:type="dxa"/>
            <w:tcBorders>
              <w:top w:val="single" w:sz="4" w:space="0" w:color="000000"/>
              <w:left w:val="single" w:sz="4" w:space="0" w:color="000000"/>
              <w:bottom w:val="single" w:sz="4" w:space="0" w:color="000000"/>
              <w:right w:val="single" w:sz="4" w:space="0" w:color="000000"/>
            </w:tcBorders>
          </w:tcPr>
          <w:p w14:paraId="6F08D39C" w14:textId="77777777" w:rsidR="0072666F" w:rsidRPr="00B84B61" w:rsidRDefault="00325422" w:rsidP="0072666F">
            <w:pPr>
              <w:spacing w:before="50" w:after="50"/>
              <w:jc w:val="both"/>
              <w:rPr>
                <w:sz w:val="20"/>
                <w:szCs w:val="20"/>
                <w:lang w:val="en-US"/>
              </w:rPr>
            </w:pPr>
            <w:r w:rsidRPr="004D621E">
              <w:t xml:space="preserve"> </w:t>
            </w:r>
            <w:r w:rsidR="0072666F" w:rsidRPr="0072666F">
              <w:rPr>
                <w:sz w:val="20"/>
                <w:szCs w:val="20"/>
                <w:lang w:val="en-US"/>
              </w:rPr>
              <w:t>Comprehending consumer behavior constitutes a paramount phase in the planning of marketing strategies</w:t>
            </w:r>
            <w:r w:rsidR="0072666F" w:rsidRPr="00B84B61">
              <w:rPr>
                <w:sz w:val="20"/>
                <w:szCs w:val="20"/>
                <w:lang w:val="en-US"/>
              </w:rPr>
              <w:t xml:space="preserve">. By properly identifying the needs of its clients, the company is able to choose the target </w:t>
            </w:r>
            <w:r w:rsidR="0072666F">
              <w:rPr>
                <w:sz w:val="20"/>
                <w:szCs w:val="20"/>
                <w:lang w:val="en-US"/>
              </w:rPr>
              <w:t>segments</w:t>
            </w:r>
            <w:r w:rsidR="0072666F" w:rsidRPr="00B84B61">
              <w:rPr>
                <w:sz w:val="20"/>
                <w:szCs w:val="20"/>
                <w:lang w:val="en-US"/>
              </w:rPr>
              <w:t xml:space="preserve"> for its product and services and construct a market offer suitable for </w:t>
            </w:r>
            <w:r w:rsidR="0072666F">
              <w:rPr>
                <w:sz w:val="20"/>
                <w:szCs w:val="20"/>
                <w:lang w:val="en-US"/>
              </w:rPr>
              <w:t>them</w:t>
            </w:r>
            <w:r w:rsidR="0072666F" w:rsidRPr="00B84B61">
              <w:rPr>
                <w:sz w:val="20"/>
                <w:szCs w:val="20"/>
                <w:lang w:val="en-US"/>
              </w:rPr>
              <w:t xml:space="preserve">. In today's fast-changing world, we are dealing with constantly evolving trends that affect the behavior of modern consumers. This </w:t>
            </w:r>
            <w:r w:rsidR="0072666F">
              <w:rPr>
                <w:sz w:val="20"/>
                <w:szCs w:val="20"/>
                <w:lang w:val="en-US"/>
              </w:rPr>
              <w:t>course</w:t>
            </w:r>
            <w:r w:rsidR="0072666F" w:rsidRPr="00B84B61">
              <w:rPr>
                <w:sz w:val="20"/>
                <w:szCs w:val="20"/>
                <w:lang w:val="en-US"/>
              </w:rPr>
              <w:t xml:space="preserve"> aims </w:t>
            </w:r>
            <w:r w:rsidR="0072666F">
              <w:rPr>
                <w:sz w:val="20"/>
                <w:szCs w:val="20"/>
                <w:lang w:val="en-US"/>
              </w:rPr>
              <w:t>at familiarizing students</w:t>
            </w:r>
            <w:r w:rsidR="0072666F" w:rsidRPr="00B84B61">
              <w:rPr>
                <w:sz w:val="20"/>
                <w:szCs w:val="20"/>
                <w:lang w:val="en-US"/>
              </w:rPr>
              <w:t xml:space="preserve"> with</w:t>
            </w:r>
            <w:r w:rsidR="0072666F">
              <w:rPr>
                <w:sz w:val="20"/>
                <w:szCs w:val="20"/>
                <w:lang w:val="en-US"/>
              </w:rPr>
              <w:t xml:space="preserve"> basic theories of consumer behavior as well as</w:t>
            </w:r>
            <w:r w:rsidR="0072666F" w:rsidRPr="00B84B61">
              <w:rPr>
                <w:sz w:val="20"/>
                <w:szCs w:val="20"/>
                <w:lang w:val="en-US"/>
              </w:rPr>
              <w:t xml:space="preserve"> </w:t>
            </w:r>
            <w:r w:rsidR="0072666F">
              <w:rPr>
                <w:sz w:val="20"/>
                <w:szCs w:val="20"/>
                <w:lang w:val="en-US"/>
              </w:rPr>
              <w:t>new socio-cultural trends influenc</w:t>
            </w:r>
            <w:r w:rsidR="0072666F" w:rsidRPr="00B84B61">
              <w:rPr>
                <w:sz w:val="20"/>
                <w:szCs w:val="20"/>
                <w:lang w:val="en-US"/>
              </w:rPr>
              <w:t xml:space="preserve">ing consumer behavior. The course </w:t>
            </w:r>
            <w:r w:rsidR="0072666F">
              <w:rPr>
                <w:sz w:val="20"/>
                <w:szCs w:val="20"/>
                <w:lang w:val="en-US"/>
              </w:rPr>
              <w:t xml:space="preserve">outline </w:t>
            </w:r>
            <w:r w:rsidR="0072666F" w:rsidRPr="00B84B61">
              <w:rPr>
                <w:sz w:val="20"/>
                <w:szCs w:val="20"/>
                <w:lang w:val="en-US"/>
              </w:rPr>
              <w:t>is as follows:</w:t>
            </w:r>
          </w:p>
          <w:p w14:paraId="40AAFAD6" w14:textId="77777777" w:rsidR="0072666F" w:rsidRPr="004F597C" w:rsidRDefault="0072666F" w:rsidP="0072666F">
            <w:pPr>
              <w:pStyle w:val="Akapitzlist"/>
              <w:numPr>
                <w:ilvl w:val="0"/>
                <w:numId w:val="1"/>
              </w:numPr>
              <w:spacing w:before="50" w:after="50"/>
              <w:jc w:val="both"/>
              <w:rPr>
                <w:rFonts w:ascii="Arial" w:hAnsi="Arial" w:cs="Arial"/>
                <w:sz w:val="20"/>
                <w:szCs w:val="20"/>
                <w:lang w:val="en-US"/>
              </w:rPr>
            </w:pPr>
            <w:r w:rsidRPr="004F597C">
              <w:rPr>
                <w:rFonts w:ascii="Arial" w:hAnsi="Arial" w:cs="Arial"/>
                <w:sz w:val="20"/>
                <w:szCs w:val="20"/>
                <w:lang w:val="en-US"/>
              </w:rPr>
              <w:t xml:space="preserve">Foundations of consumer behavior </w:t>
            </w:r>
          </w:p>
          <w:p w14:paraId="7A65C49F" w14:textId="77777777" w:rsidR="0072666F" w:rsidRPr="004F597C" w:rsidRDefault="0072666F" w:rsidP="0072666F">
            <w:pPr>
              <w:pStyle w:val="Akapitzlist"/>
              <w:numPr>
                <w:ilvl w:val="0"/>
                <w:numId w:val="1"/>
              </w:numPr>
              <w:spacing w:before="50" w:after="50"/>
              <w:jc w:val="both"/>
              <w:rPr>
                <w:rFonts w:ascii="Arial" w:hAnsi="Arial" w:cs="Arial"/>
                <w:sz w:val="20"/>
                <w:szCs w:val="20"/>
                <w:lang w:val="en-US"/>
              </w:rPr>
            </w:pPr>
            <w:r w:rsidRPr="004F597C">
              <w:rPr>
                <w:rFonts w:ascii="Arial" w:hAnsi="Arial" w:cs="Arial"/>
                <w:sz w:val="20"/>
                <w:szCs w:val="20"/>
                <w:lang w:val="en-US"/>
              </w:rPr>
              <w:t xml:space="preserve">Internal factors influencing consumer behavior: </w:t>
            </w:r>
          </w:p>
          <w:p w14:paraId="2D3502A5" w14:textId="77777777" w:rsidR="0072666F" w:rsidRPr="004F597C" w:rsidRDefault="0072666F" w:rsidP="0072666F">
            <w:pPr>
              <w:pStyle w:val="Akapitzlist"/>
              <w:numPr>
                <w:ilvl w:val="0"/>
                <w:numId w:val="2"/>
              </w:numPr>
              <w:spacing w:before="50" w:after="50"/>
              <w:jc w:val="both"/>
              <w:rPr>
                <w:rFonts w:ascii="Arial" w:hAnsi="Arial" w:cs="Arial"/>
                <w:sz w:val="20"/>
                <w:szCs w:val="20"/>
                <w:lang w:val="en-US"/>
              </w:rPr>
            </w:pPr>
            <w:r w:rsidRPr="004F597C">
              <w:rPr>
                <w:rFonts w:ascii="Arial" w:hAnsi="Arial" w:cs="Arial"/>
                <w:sz w:val="20"/>
                <w:szCs w:val="20"/>
                <w:lang w:val="en-US"/>
              </w:rPr>
              <w:t xml:space="preserve">Consumers psychology  </w:t>
            </w:r>
          </w:p>
          <w:p w14:paraId="65B34995" w14:textId="77777777" w:rsidR="0072666F" w:rsidRPr="004F597C" w:rsidRDefault="0072666F" w:rsidP="0072666F">
            <w:pPr>
              <w:pStyle w:val="Akapitzlist"/>
              <w:numPr>
                <w:ilvl w:val="0"/>
                <w:numId w:val="2"/>
              </w:numPr>
              <w:spacing w:before="50" w:after="50"/>
              <w:jc w:val="both"/>
              <w:rPr>
                <w:rFonts w:ascii="Arial" w:hAnsi="Arial" w:cs="Arial"/>
                <w:sz w:val="20"/>
                <w:szCs w:val="20"/>
                <w:lang w:val="en-US"/>
              </w:rPr>
            </w:pPr>
            <w:r w:rsidRPr="004F597C">
              <w:rPr>
                <w:rFonts w:ascii="Arial" w:hAnsi="Arial" w:cs="Arial"/>
                <w:sz w:val="20"/>
                <w:szCs w:val="20"/>
                <w:lang w:val="en-US"/>
              </w:rPr>
              <w:t xml:space="preserve">Consumers demography (gender, age) </w:t>
            </w:r>
          </w:p>
          <w:p w14:paraId="2A1ACA92" w14:textId="77777777" w:rsidR="0072666F" w:rsidRPr="004F597C" w:rsidRDefault="0072666F" w:rsidP="0072666F">
            <w:pPr>
              <w:pStyle w:val="Akapitzlist"/>
              <w:numPr>
                <w:ilvl w:val="0"/>
                <w:numId w:val="1"/>
              </w:numPr>
              <w:spacing w:before="50" w:after="50"/>
              <w:jc w:val="both"/>
              <w:rPr>
                <w:rFonts w:ascii="Arial" w:hAnsi="Arial" w:cs="Arial"/>
                <w:sz w:val="20"/>
                <w:szCs w:val="20"/>
                <w:lang w:val="en-US"/>
              </w:rPr>
            </w:pPr>
            <w:r w:rsidRPr="004F597C">
              <w:rPr>
                <w:rFonts w:ascii="Arial" w:hAnsi="Arial" w:cs="Arial"/>
                <w:sz w:val="20"/>
                <w:szCs w:val="20"/>
                <w:lang w:val="en-US"/>
              </w:rPr>
              <w:t>External factors influencing consumer behavior:</w:t>
            </w:r>
          </w:p>
          <w:p w14:paraId="60DA1D07" w14:textId="77777777" w:rsidR="0072666F" w:rsidRPr="004F597C" w:rsidRDefault="0072666F" w:rsidP="0072666F">
            <w:pPr>
              <w:pStyle w:val="Akapitzlist"/>
              <w:numPr>
                <w:ilvl w:val="0"/>
                <w:numId w:val="3"/>
              </w:numPr>
              <w:spacing w:before="50" w:after="50"/>
              <w:jc w:val="both"/>
              <w:rPr>
                <w:rFonts w:ascii="Arial" w:hAnsi="Arial" w:cs="Arial"/>
                <w:sz w:val="20"/>
                <w:szCs w:val="20"/>
                <w:lang w:val="en-US"/>
              </w:rPr>
            </w:pPr>
            <w:r w:rsidRPr="004F597C">
              <w:rPr>
                <w:rFonts w:ascii="Arial" w:hAnsi="Arial" w:cs="Arial"/>
                <w:sz w:val="20"/>
                <w:szCs w:val="20"/>
                <w:lang w:val="en-US"/>
              </w:rPr>
              <w:t>Reference group</w:t>
            </w:r>
            <w:r>
              <w:rPr>
                <w:rFonts w:ascii="Arial" w:hAnsi="Arial" w:cs="Arial"/>
                <w:sz w:val="20"/>
                <w:szCs w:val="20"/>
                <w:lang w:val="en-US"/>
              </w:rPr>
              <w:t>s</w:t>
            </w:r>
            <w:r w:rsidRPr="004F597C">
              <w:rPr>
                <w:rFonts w:ascii="Arial" w:hAnsi="Arial" w:cs="Arial"/>
                <w:sz w:val="20"/>
                <w:szCs w:val="20"/>
                <w:lang w:val="en-US"/>
              </w:rPr>
              <w:t xml:space="preserve"> and social class </w:t>
            </w:r>
          </w:p>
          <w:p w14:paraId="2A987527" w14:textId="77777777" w:rsidR="0072666F" w:rsidRPr="004F597C" w:rsidRDefault="0072666F" w:rsidP="0072666F">
            <w:pPr>
              <w:pStyle w:val="Akapitzlist"/>
              <w:numPr>
                <w:ilvl w:val="0"/>
                <w:numId w:val="3"/>
              </w:numPr>
              <w:spacing w:before="50" w:after="50"/>
              <w:jc w:val="both"/>
              <w:rPr>
                <w:rFonts w:ascii="Arial" w:hAnsi="Arial" w:cs="Arial"/>
                <w:sz w:val="20"/>
                <w:szCs w:val="20"/>
                <w:lang w:val="en-US"/>
              </w:rPr>
            </w:pPr>
            <w:r w:rsidRPr="004F597C">
              <w:rPr>
                <w:rFonts w:ascii="Arial" w:hAnsi="Arial" w:cs="Arial"/>
                <w:sz w:val="20"/>
                <w:szCs w:val="20"/>
                <w:lang w:val="en-US"/>
              </w:rPr>
              <w:t xml:space="preserve">Culture and globalization  </w:t>
            </w:r>
          </w:p>
          <w:p w14:paraId="35D32A51" w14:textId="77777777" w:rsidR="0072666F" w:rsidRPr="004F597C" w:rsidRDefault="0072666F" w:rsidP="0072666F">
            <w:pPr>
              <w:pStyle w:val="Akapitzlist"/>
              <w:numPr>
                <w:ilvl w:val="0"/>
                <w:numId w:val="1"/>
              </w:numPr>
              <w:spacing w:before="50" w:after="50"/>
              <w:jc w:val="both"/>
              <w:rPr>
                <w:rFonts w:ascii="Arial" w:hAnsi="Arial" w:cs="Arial"/>
                <w:sz w:val="20"/>
                <w:szCs w:val="20"/>
                <w:lang w:val="en-US"/>
              </w:rPr>
            </w:pPr>
            <w:r w:rsidRPr="004F597C">
              <w:rPr>
                <w:rFonts w:ascii="Arial" w:hAnsi="Arial" w:cs="Arial"/>
                <w:sz w:val="20"/>
                <w:szCs w:val="20"/>
                <w:lang w:val="en-US"/>
              </w:rPr>
              <w:t xml:space="preserve">New trends in consumer behavior: </w:t>
            </w:r>
          </w:p>
          <w:p w14:paraId="010B3468" w14:textId="77777777" w:rsidR="0072666F" w:rsidRPr="004F597C" w:rsidRDefault="0072666F" w:rsidP="0072666F">
            <w:pPr>
              <w:pStyle w:val="Akapitzlist"/>
              <w:numPr>
                <w:ilvl w:val="0"/>
                <w:numId w:val="4"/>
              </w:numPr>
              <w:spacing w:before="50" w:after="50"/>
              <w:jc w:val="both"/>
              <w:rPr>
                <w:rFonts w:ascii="Arial" w:hAnsi="Arial" w:cs="Arial"/>
                <w:sz w:val="20"/>
                <w:szCs w:val="20"/>
                <w:lang w:val="en-US"/>
              </w:rPr>
            </w:pPr>
            <w:r w:rsidRPr="004F597C">
              <w:rPr>
                <w:rFonts w:ascii="Arial" w:hAnsi="Arial" w:cs="Arial"/>
                <w:sz w:val="20"/>
                <w:szCs w:val="20"/>
                <w:lang w:val="en-US"/>
              </w:rPr>
              <w:t xml:space="preserve">Consumerism </w:t>
            </w:r>
          </w:p>
          <w:p w14:paraId="25E61821" w14:textId="77777777" w:rsidR="0072666F" w:rsidRPr="004F597C" w:rsidRDefault="0072666F" w:rsidP="0072666F">
            <w:pPr>
              <w:pStyle w:val="Akapitzlist"/>
              <w:numPr>
                <w:ilvl w:val="0"/>
                <w:numId w:val="4"/>
              </w:numPr>
              <w:spacing w:before="50" w:after="50"/>
              <w:jc w:val="both"/>
              <w:rPr>
                <w:rFonts w:ascii="Arial" w:hAnsi="Arial" w:cs="Arial"/>
                <w:sz w:val="20"/>
                <w:szCs w:val="20"/>
                <w:lang w:val="en-US"/>
              </w:rPr>
            </w:pPr>
            <w:r w:rsidRPr="004F597C">
              <w:rPr>
                <w:rFonts w:ascii="Arial" w:hAnsi="Arial" w:cs="Arial"/>
                <w:sz w:val="20"/>
                <w:szCs w:val="20"/>
                <w:lang w:val="en-US"/>
              </w:rPr>
              <w:t xml:space="preserve">Green consumption </w:t>
            </w:r>
          </w:p>
          <w:p w14:paraId="3243D41E" w14:textId="07387320" w:rsidR="00325422" w:rsidRPr="004D621E" w:rsidRDefault="0072666F" w:rsidP="0072666F">
            <w:pPr>
              <w:pStyle w:val="Akapitzlist"/>
              <w:numPr>
                <w:ilvl w:val="0"/>
                <w:numId w:val="4"/>
              </w:numPr>
              <w:spacing w:after="0" w:line="276" w:lineRule="auto"/>
            </w:pPr>
            <w:r w:rsidRPr="0072666F">
              <w:rPr>
                <w:sz w:val="20"/>
                <w:szCs w:val="20"/>
                <w:lang w:val="en-US"/>
              </w:rPr>
              <w:t>Internet and social media</w:t>
            </w:r>
          </w:p>
        </w:tc>
      </w:tr>
      <w:tr w:rsidR="00325422" w:rsidRPr="004D621E" w14:paraId="0EC178B4" w14:textId="77777777" w:rsidTr="0072666F">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t>Prerequisites</w:t>
            </w:r>
          </w:p>
        </w:tc>
        <w:tc>
          <w:tcPr>
            <w:tcW w:w="3416"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4536" w:type="dxa"/>
            <w:tcBorders>
              <w:top w:val="single" w:sz="4" w:space="0" w:color="000000"/>
              <w:left w:val="single" w:sz="4" w:space="0" w:color="000000"/>
              <w:bottom w:val="single" w:sz="4" w:space="0" w:color="000000"/>
              <w:right w:val="single" w:sz="4" w:space="0" w:color="000000"/>
            </w:tcBorders>
          </w:tcPr>
          <w:p w14:paraId="2026E239" w14:textId="77777777" w:rsidR="00325422" w:rsidRPr="004D621E" w:rsidRDefault="00325422" w:rsidP="004D621E">
            <w:pPr>
              <w:spacing w:after="0" w:line="276" w:lineRule="auto"/>
              <w:ind w:left="1" w:firstLine="0"/>
            </w:pPr>
            <w:r w:rsidRPr="004D621E">
              <w:t xml:space="preserve"> </w:t>
            </w:r>
          </w:p>
        </w:tc>
      </w:tr>
      <w:tr w:rsidR="00325422" w:rsidRPr="004D621E" w14:paraId="38B55437" w14:textId="77777777" w:rsidTr="0072666F">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3416"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4536" w:type="dxa"/>
            <w:tcBorders>
              <w:top w:val="single" w:sz="4" w:space="0" w:color="000000"/>
              <w:left w:val="single" w:sz="4" w:space="0" w:color="000000"/>
              <w:bottom w:val="single" w:sz="4" w:space="0" w:color="000000"/>
              <w:right w:val="single" w:sz="4" w:space="0" w:color="000000"/>
            </w:tcBorders>
          </w:tcPr>
          <w:p w14:paraId="26F5A485" w14:textId="77777777" w:rsidR="00325422" w:rsidRPr="004D621E" w:rsidRDefault="00325422" w:rsidP="004D621E">
            <w:pPr>
              <w:spacing w:after="0" w:line="276" w:lineRule="auto"/>
              <w:ind w:left="1" w:firstLine="0"/>
            </w:pPr>
            <w:r w:rsidRPr="004D621E">
              <w:t xml:space="preserve"> </w:t>
            </w:r>
          </w:p>
        </w:tc>
      </w:tr>
      <w:tr w:rsidR="00325422" w:rsidRPr="004D621E" w14:paraId="191612E4"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t>Learning outcomes</w:t>
            </w:r>
          </w:p>
        </w:tc>
        <w:tc>
          <w:tcPr>
            <w:tcW w:w="4536" w:type="dxa"/>
            <w:tcBorders>
              <w:top w:val="single" w:sz="4" w:space="0" w:color="000000"/>
              <w:left w:val="single" w:sz="4" w:space="0" w:color="000000"/>
              <w:bottom w:val="single" w:sz="4" w:space="0" w:color="000000"/>
              <w:right w:val="single" w:sz="4" w:space="0" w:color="000000"/>
            </w:tcBorders>
          </w:tcPr>
          <w:p w14:paraId="63591BE1" w14:textId="77777777" w:rsidR="00B43875" w:rsidRPr="00724070" w:rsidRDefault="00325422" w:rsidP="00B43875">
            <w:pPr>
              <w:pStyle w:val="Tekstpodstawowy2"/>
              <w:rPr>
                <w:rFonts w:ascii="Arial" w:hAnsi="Arial" w:cs="Arial"/>
                <w:b w:val="0"/>
                <w:sz w:val="20"/>
                <w:lang w:val="en-US"/>
              </w:rPr>
            </w:pPr>
            <w:r w:rsidRPr="004D621E">
              <w:t xml:space="preserve"> </w:t>
            </w:r>
            <w:r w:rsidR="00B43875" w:rsidRPr="00724070">
              <w:rPr>
                <w:rFonts w:ascii="Arial" w:hAnsi="Arial" w:cs="Arial"/>
                <w:b w:val="0"/>
                <w:sz w:val="20"/>
                <w:lang w:val="en-US"/>
              </w:rPr>
              <w:t>After completing the course students:</w:t>
            </w:r>
          </w:p>
          <w:p w14:paraId="6C8F6EE3" w14:textId="77777777" w:rsidR="00B43875" w:rsidRPr="00724070" w:rsidRDefault="00B43875" w:rsidP="00B43875">
            <w:pPr>
              <w:pStyle w:val="Tekstpodstawowy2"/>
              <w:rPr>
                <w:rFonts w:ascii="Arial" w:hAnsi="Arial" w:cs="Arial"/>
                <w:b w:val="0"/>
                <w:sz w:val="20"/>
                <w:lang w:val="en-US"/>
              </w:rPr>
            </w:pPr>
          </w:p>
          <w:p w14:paraId="559DE6BC"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lastRenderedPageBreak/>
              <w:t xml:space="preserve">K_W01 know and understand the general methodology of consumer research as well as concepts and models related to the consumer  decision-making process </w:t>
            </w:r>
          </w:p>
          <w:p w14:paraId="25A9A645"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 xml:space="preserve">K_W02 understand the importance of consumer behaviour modelling for marketing activities designing </w:t>
            </w:r>
          </w:p>
          <w:p w14:paraId="785C7516"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K_W04 know and understand the fundamental dilemmas of the contemporary consumer in terms of satisfying food needs, health and the future of civilization</w:t>
            </w:r>
          </w:p>
          <w:p w14:paraId="0E04CCE6"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K_W05 know and understand the determinants of consumer decision-making processes in the food market</w:t>
            </w:r>
          </w:p>
          <w:p w14:paraId="6935496D"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K_U01 can and are able to use knowledge in the field of social sciences and theoretical models to recognise, diagnose attitudes and consumer behaviour and to suggest general marketing solutions.</w:t>
            </w:r>
          </w:p>
          <w:p w14:paraId="3C4ECB71"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K_U02 can and are able to identify factors and interpret their impact on consumer attitudes and behaviour on the food market</w:t>
            </w:r>
          </w:p>
          <w:p w14:paraId="35DF76A8"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K_U04  can and are able to analyse and diagnose the impact of marketing activities on consumer behaviour and communicatively present the effect of their work and debate in English</w:t>
            </w:r>
          </w:p>
          <w:p w14:paraId="58D7E53E"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K_U06 can and are able to plan and organise own work and team work</w:t>
            </w:r>
          </w:p>
          <w:p w14:paraId="6D827009"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K_U07 can and are able to broaden knowledge about consumer attitudes and behaviours</w:t>
            </w:r>
          </w:p>
          <w:p w14:paraId="4010F46B" w14:textId="77777777" w:rsidR="00B43875" w:rsidRPr="00724070" w:rsidRDefault="00B43875" w:rsidP="00B43875">
            <w:pPr>
              <w:pStyle w:val="Tekstpodstawowy2"/>
              <w:rPr>
                <w:rFonts w:ascii="Arial" w:hAnsi="Arial" w:cs="Arial"/>
                <w:b w:val="0"/>
                <w:sz w:val="20"/>
                <w:lang w:val="en-US"/>
              </w:rPr>
            </w:pPr>
            <w:r w:rsidRPr="00724070">
              <w:rPr>
                <w:rFonts w:ascii="Arial" w:hAnsi="Arial" w:cs="Arial"/>
                <w:b w:val="0"/>
                <w:sz w:val="20"/>
                <w:lang w:val="en-US"/>
              </w:rPr>
              <w:t>K_K01 are ready to express critical opinions and discuss the impact on the attitudes and behaviours of consumers, as well as to consult experts</w:t>
            </w:r>
          </w:p>
          <w:p w14:paraId="21F397DF" w14:textId="657D7D1E" w:rsidR="00325422" w:rsidRPr="004D621E" w:rsidRDefault="00B43875" w:rsidP="00B43875">
            <w:pPr>
              <w:spacing w:after="0" w:line="276" w:lineRule="auto"/>
              <w:ind w:left="1" w:firstLine="0"/>
            </w:pPr>
            <w:r w:rsidRPr="00724070">
              <w:rPr>
                <w:sz w:val="20"/>
                <w:lang w:val="en-US"/>
              </w:rPr>
              <w:t>K_K02 are ready to take responsibility for the impact of marketing activities on the attitudes and behaviours of consumers, giving priority to ethics and the good of the consumer over sales targets</w:t>
            </w:r>
          </w:p>
        </w:tc>
      </w:tr>
      <w:tr w:rsidR="00325422" w:rsidRPr="004D621E" w14:paraId="5A99F7C7"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lastRenderedPageBreak/>
              <w:t>ECTS credit allocation (and other scores)</w:t>
            </w:r>
          </w:p>
        </w:tc>
        <w:tc>
          <w:tcPr>
            <w:tcW w:w="4536" w:type="dxa"/>
            <w:tcBorders>
              <w:top w:val="single" w:sz="4" w:space="0" w:color="000000"/>
              <w:left w:val="single" w:sz="4" w:space="0" w:color="000000"/>
              <w:bottom w:val="single" w:sz="4" w:space="0" w:color="000000"/>
              <w:right w:val="single" w:sz="4" w:space="0" w:color="000000"/>
            </w:tcBorders>
          </w:tcPr>
          <w:p w14:paraId="5DC7F1F4" w14:textId="330565B4" w:rsidR="00325422" w:rsidRPr="004D621E" w:rsidRDefault="00325422" w:rsidP="004D621E">
            <w:pPr>
              <w:spacing w:after="0" w:line="276" w:lineRule="auto"/>
              <w:ind w:left="1" w:firstLine="0"/>
              <w:rPr>
                <w:lang w:val="en-GB"/>
              </w:rPr>
            </w:pPr>
            <w:r w:rsidRPr="004D621E">
              <w:rPr>
                <w:lang w:val="en-GB"/>
              </w:rPr>
              <w:t xml:space="preserve"> </w:t>
            </w:r>
            <w:r w:rsidR="007F5934">
              <w:rPr>
                <w:lang w:val="en-GB"/>
              </w:rPr>
              <w:t>2</w:t>
            </w:r>
          </w:p>
        </w:tc>
      </w:tr>
      <w:tr w:rsidR="00325422" w:rsidRPr="004D621E" w14:paraId="301969D1" w14:textId="77777777" w:rsidTr="0072666F">
        <w:trPr>
          <w:trHeight w:val="218"/>
        </w:trPr>
        <w:tc>
          <w:tcPr>
            <w:tcW w:w="4921"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4536" w:type="dxa"/>
            <w:tcBorders>
              <w:top w:val="single" w:sz="4" w:space="0" w:color="000000"/>
              <w:left w:val="single" w:sz="4" w:space="0" w:color="000000"/>
              <w:bottom w:val="single" w:sz="4" w:space="0" w:color="000000"/>
              <w:right w:val="single" w:sz="4" w:space="0" w:color="000000"/>
            </w:tcBorders>
          </w:tcPr>
          <w:p w14:paraId="3D053E96" w14:textId="6FEC5F4E" w:rsidR="00B43875" w:rsidRPr="00B43875" w:rsidRDefault="00B43875" w:rsidP="00B43875">
            <w:pPr>
              <w:pStyle w:val="Akapitzlist"/>
              <w:numPr>
                <w:ilvl w:val="0"/>
                <w:numId w:val="5"/>
              </w:numPr>
              <w:spacing w:before="50" w:after="50"/>
              <w:jc w:val="both"/>
              <w:rPr>
                <w:sz w:val="20"/>
                <w:szCs w:val="20"/>
                <w:lang w:val="en-US"/>
              </w:rPr>
            </w:pPr>
            <w:r w:rsidRPr="00B43875">
              <w:rPr>
                <w:sz w:val="20"/>
                <w:szCs w:val="20"/>
                <w:lang w:val="en-US"/>
              </w:rPr>
              <w:t xml:space="preserve">Attendance – 10% </w:t>
            </w:r>
          </w:p>
          <w:p w14:paraId="0D3EDE9B" w14:textId="4D8B906A" w:rsidR="00B43875" w:rsidRPr="00B43875" w:rsidRDefault="00B43875" w:rsidP="00B43875">
            <w:pPr>
              <w:pStyle w:val="Akapitzlist"/>
              <w:numPr>
                <w:ilvl w:val="0"/>
                <w:numId w:val="5"/>
              </w:numPr>
              <w:spacing w:before="50" w:after="50"/>
              <w:jc w:val="both"/>
              <w:rPr>
                <w:sz w:val="20"/>
                <w:szCs w:val="20"/>
                <w:lang w:val="en-US"/>
              </w:rPr>
            </w:pPr>
            <w:r w:rsidRPr="00B43875">
              <w:rPr>
                <w:sz w:val="20"/>
                <w:szCs w:val="20"/>
                <w:lang w:val="en-US"/>
              </w:rPr>
              <w:t>Group assignments/ Homework</w:t>
            </w:r>
            <w:r>
              <w:rPr>
                <w:sz w:val="20"/>
                <w:szCs w:val="20"/>
                <w:lang w:val="en-US"/>
              </w:rPr>
              <w:t>s</w:t>
            </w:r>
            <w:r w:rsidRPr="00B43875">
              <w:rPr>
                <w:sz w:val="20"/>
                <w:szCs w:val="20"/>
                <w:lang w:val="en-US"/>
              </w:rPr>
              <w:t xml:space="preserve"> – 40% </w:t>
            </w:r>
          </w:p>
          <w:p w14:paraId="62C4ECEF" w14:textId="313324AF" w:rsidR="00B43875" w:rsidRPr="00B43875" w:rsidRDefault="00B43875" w:rsidP="00B43875">
            <w:pPr>
              <w:pStyle w:val="Akapitzlist"/>
              <w:numPr>
                <w:ilvl w:val="0"/>
                <w:numId w:val="5"/>
              </w:numPr>
              <w:spacing w:before="50" w:after="50"/>
              <w:jc w:val="both"/>
              <w:rPr>
                <w:color w:val="007F00"/>
                <w:lang w:val="en-GB"/>
              </w:rPr>
            </w:pPr>
            <w:r w:rsidRPr="00B43875">
              <w:rPr>
                <w:sz w:val="20"/>
                <w:szCs w:val="20"/>
                <w:lang w:val="en-US"/>
              </w:rPr>
              <w:t xml:space="preserve">Final test – 50% </w:t>
            </w:r>
          </w:p>
          <w:p w14:paraId="2DA37B70" w14:textId="37C288C2" w:rsidR="00B43875" w:rsidRPr="0065256E" w:rsidRDefault="00B43875" w:rsidP="00B43875">
            <w:pPr>
              <w:spacing w:before="50" w:after="50"/>
              <w:jc w:val="both"/>
              <w:rPr>
                <w:bCs/>
                <w:sz w:val="20"/>
                <w:szCs w:val="20"/>
                <w:lang w:val="en-US"/>
              </w:rPr>
            </w:pPr>
            <w:r w:rsidRPr="0065256E">
              <w:rPr>
                <w:bCs/>
                <w:sz w:val="20"/>
                <w:szCs w:val="20"/>
                <w:lang w:val="en-US"/>
              </w:rPr>
              <w:t>Final grades:</w:t>
            </w:r>
          </w:p>
          <w:p w14:paraId="73C34ADB" w14:textId="77777777" w:rsidR="00B43875" w:rsidRPr="0065256E" w:rsidRDefault="00B43875" w:rsidP="00B43875">
            <w:pPr>
              <w:spacing w:before="50" w:after="50"/>
              <w:jc w:val="both"/>
              <w:rPr>
                <w:bCs/>
                <w:sz w:val="20"/>
                <w:szCs w:val="20"/>
                <w:lang w:val="en-US"/>
              </w:rPr>
            </w:pPr>
            <w:r w:rsidRPr="0065256E">
              <w:rPr>
                <w:bCs/>
                <w:sz w:val="20"/>
                <w:szCs w:val="20"/>
                <w:lang w:val="en-US"/>
              </w:rPr>
              <w:t>0-29 pts– 2 (unsatisfactory)</w:t>
            </w:r>
          </w:p>
          <w:p w14:paraId="261BA53A" w14:textId="77777777" w:rsidR="00B43875" w:rsidRPr="0065256E" w:rsidRDefault="00B43875" w:rsidP="00B43875">
            <w:pPr>
              <w:spacing w:before="50" w:after="50"/>
              <w:jc w:val="both"/>
              <w:rPr>
                <w:bCs/>
                <w:sz w:val="20"/>
                <w:szCs w:val="20"/>
                <w:lang w:val="en-US"/>
              </w:rPr>
            </w:pPr>
            <w:r w:rsidRPr="0065256E">
              <w:rPr>
                <w:bCs/>
                <w:sz w:val="20"/>
                <w:szCs w:val="20"/>
                <w:lang w:val="en-US"/>
              </w:rPr>
              <w:t>30-34 pts– 3 (sufficient)</w:t>
            </w:r>
          </w:p>
          <w:p w14:paraId="0D9E6AAE" w14:textId="77777777" w:rsidR="00B43875" w:rsidRPr="0065256E" w:rsidRDefault="00B43875" w:rsidP="00B43875">
            <w:pPr>
              <w:spacing w:before="50" w:after="50"/>
              <w:jc w:val="both"/>
              <w:rPr>
                <w:bCs/>
                <w:sz w:val="20"/>
                <w:szCs w:val="20"/>
                <w:lang w:val="en-US"/>
              </w:rPr>
            </w:pPr>
            <w:r w:rsidRPr="0065256E">
              <w:rPr>
                <w:bCs/>
                <w:sz w:val="20"/>
                <w:szCs w:val="20"/>
                <w:lang w:val="en-US"/>
              </w:rPr>
              <w:t>35-39 pts– 3,5 (satisfactory)</w:t>
            </w:r>
          </w:p>
          <w:p w14:paraId="116F4911" w14:textId="77777777" w:rsidR="00B43875" w:rsidRPr="0065256E" w:rsidRDefault="00B43875" w:rsidP="00B43875">
            <w:pPr>
              <w:spacing w:before="50" w:after="50"/>
              <w:jc w:val="both"/>
              <w:rPr>
                <w:bCs/>
                <w:sz w:val="20"/>
                <w:szCs w:val="20"/>
                <w:lang w:val="en-US"/>
              </w:rPr>
            </w:pPr>
            <w:r w:rsidRPr="0065256E">
              <w:rPr>
                <w:bCs/>
                <w:sz w:val="20"/>
                <w:szCs w:val="20"/>
                <w:lang w:val="en-US"/>
              </w:rPr>
              <w:t>40-44 pts– 4,0 (good)</w:t>
            </w:r>
          </w:p>
          <w:p w14:paraId="7552B8F6" w14:textId="77777777" w:rsidR="00B43875" w:rsidRPr="0065256E" w:rsidRDefault="00B43875" w:rsidP="00B43875">
            <w:pPr>
              <w:spacing w:before="50" w:after="50"/>
              <w:jc w:val="both"/>
              <w:rPr>
                <w:bCs/>
                <w:sz w:val="20"/>
                <w:szCs w:val="20"/>
                <w:lang w:val="en-US"/>
              </w:rPr>
            </w:pPr>
            <w:r w:rsidRPr="0065256E">
              <w:rPr>
                <w:bCs/>
                <w:sz w:val="20"/>
                <w:szCs w:val="20"/>
                <w:lang w:val="en-US"/>
              </w:rPr>
              <w:t>45-49 pts– 4,5 (fairly good)</w:t>
            </w:r>
          </w:p>
          <w:p w14:paraId="018EA085" w14:textId="77777777" w:rsidR="00B43875" w:rsidRPr="0065256E" w:rsidRDefault="00B43875" w:rsidP="00B43875">
            <w:pPr>
              <w:spacing w:before="50" w:after="50"/>
              <w:jc w:val="both"/>
              <w:rPr>
                <w:bCs/>
                <w:sz w:val="20"/>
                <w:szCs w:val="20"/>
                <w:lang w:val="en-US"/>
              </w:rPr>
            </w:pPr>
            <w:r w:rsidRPr="0065256E">
              <w:rPr>
                <w:bCs/>
                <w:sz w:val="20"/>
                <w:szCs w:val="20"/>
                <w:lang w:val="en-US"/>
              </w:rPr>
              <w:t>50-59 pts– 5,0 (very good)</w:t>
            </w:r>
          </w:p>
          <w:p w14:paraId="694C5302" w14:textId="57B0B833" w:rsidR="00325422" w:rsidRPr="004D621E" w:rsidRDefault="00B43875" w:rsidP="00B43875">
            <w:pPr>
              <w:spacing w:after="0" w:line="276" w:lineRule="auto"/>
              <w:ind w:left="1" w:firstLine="0"/>
              <w:rPr>
                <w:lang w:val="en-GB"/>
              </w:rPr>
            </w:pPr>
            <w:r w:rsidRPr="0065256E">
              <w:rPr>
                <w:bCs/>
                <w:sz w:val="20"/>
                <w:szCs w:val="20"/>
                <w:lang w:val="en-US"/>
              </w:rPr>
              <w:t>60 pts – 5,5 (excellent)</w:t>
            </w:r>
          </w:p>
        </w:tc>
      </w:tr>
      <w:tr w:rsidR="00325422" w:rsidRPr="004D621E" w14:paraId="212A23E1"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t>Examination</w:t>
            </w:r>
            <w:r w:rsidR="00325422" w:rsidRPr="004D621E">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1D77180" w14:textId="77777777" w:rsidR="00325422" w:rsidRPr="004D621E" w:rsidRDefault="00325422" w:rsidP="004D621E">
            <w:pPr>
              <w:spacing w:after="0" w:line="276" w:lineRule="auto"/>
              <w:ind w:left="361" w:firstLine="0"/>
            </w:pPr>
            <w:r w:rsidRPr="004D621E">
              <w:t xml:space="preserve"> </w:t>
            </w:r>
          </w:p>
        </w:tc>
      </w:tr>
      <w:tr w:rsidR="00325422" w:rsidRPr="004D621E" w14:paraId="073565A4"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4536" w:type="dxa"/>
            <w:tcBorders>
              <w:top w:val="single" w:sz="4" w:space="0" w:color="000000"/>
              <w:left w:val="single" w:sz="4" w:space="0" w:color="000000"/>
              <w:bottom w:val="single" w:sz="4" w:space="0" w:color="000000"/>
              <w:right w:val="single" w:sz="4" w:space="0" w:color="000000"/>
            </w:tcBorders>
          </w:tcPr>
          <w:p w14:paraId="21E5C7F9" w14:textId="77777777" w:rsidR="00325422" w:rsidRPr="004D621E" w:rsidRDefault="00325422" w:rsidP="004D621E">
            <w:pPr>
              <w:spacing w:after="0" w:line="276" w:lineRule="auto"/>
              <w:ind w:left="361" w:firstLine="0"/>
            </w:pPr>
            <w:r w:rsidRPr="004D621E">
              <w:t xml:space="preserve"> </w:t>
            </w:r>
          </w:p>
        </w:tc>
      </w:tr>
      <w:tr w:rsidR="00325422" w:rsidRPr="004D621E" w14:paraId="4A326BB5"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2688F150" w14:textId="77777777" w:rsidR="00325422" w:rsidRPr="004D621E" w:rsidRDefault="00325422" w:rsidP="004D621E">
            <w:pPr>
              <w:spacing w:after="0" w:line="276" w:lineRule="auto"/>
              <w:ind w:left="0" w:firstLine="0"/>
            </w:pPr>
            <w:r w:rsidRPr="004D621E">
              <w:lastRenderedPageBreak/>
              <w:t xml:space="preserve">Sposób realizacji przedmiotu </w:t>
            </w:r>
          </w:p>
        </w:tc>
        <w:tc>
          <w:tcPr>
            <w:tcW w:w="4536" w:type="dxa"/>
            <w:tcBorders>
              <w:top w:val="single" w:sz="4" w:space="0" w:color="000000"/>
              <w:left w:val="single" w:sz="4" w:space="0" w:color="000000"/>
              <w:bottom w:val="single" w:sz="4" w:space="0" w:color="000000"/>
              <w:right w:val="single" w:sz="4" w:space="0" w:color="000000"/>
            </w:tcBorders>
          </w:tcPr>
          <w:p w14:paraId="6E9E4E65" w14:textId="67CC89EF" w:rsidR="00325422" w:rsidRPr="004D621E" w:rsidRDefault="00325422" w:rsidP="004D621E">
            <w:pPr>
              <w:spacing w:after="0" w:line="276" w:lineRule="auto"/>
              <w:ind w:left="1" w:firstLine="0"/>
            </w:pPr>
            <w:r w:rsidRPr="004D621E">
              <w:t xml:space="preserve"> </w:t>
            </w:r>
            <w:r w:rsidR="00B43875" w:rsidRPr="00B43875">
              <w:rPr>
                <w:color w:val="auto"/>
                <w:sz w:val="20"/>
                <w:szCs w:val="20"/>
                <w:lang w:val="en-US"/>
              </w:rPr>
              <w:t>PowerPoint presentations, case study, group discussions, class assignments, educational games</w:t>
            </w:r>
          </w:p>
        </w:tc>
      </w:tr>
      <w:tr w:rsidR="00325422" w:rsidRPr="004D621E" w14:paraId="422AC647" w14:textId="77777777" w:rsidTr="0072666F">
        <w:trPr>
          <w:trHeight w:val="218"/>
        </w:trPr>
        <w:tc>
          <w:tcPr>
            <w:tcW w:w="4921"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4536" w:type="dxa"/>
            <w:tcBorders>
              <w:top w:val="single" w:sz="4" w:space="0" w:color="000000"/>
              <w:left w:val="single" w:sz="4" w:space="0" w:color="000000"/>
              <w:bottom w:val="single" w:sz="4" w:space="0" w:color="000000"/>
              <w:right w:val="single" w:sz="4" w:space="0" w:color="000000"/>
            </w:tcBorders>
          </w:tcPr>
          <w:p w14:paraId="362B9CCA" w14:textId="6A55A44D" w:rsidR="00325422" w:rsidRPr="004D621E" w:rsidRDefault="00325422" w:rsidP="004D621E">
            <w:pPr>
              <w:spacing w:after="0" w:line="276" w:lineRule="auto"/>
              <w:ind w:left="1" w:firstLine="0"/>
            </w:pPr>
            <w:r w:rsidRPr="004D621E">
              <w:t xml:space="preserve"> </w:t>
            </w:r>
            <w:r w:rsidR="00B43875">
              <w:t>English</w:t>
            </w:r>
          </w:p>
        </w:tc>
      </w:tr>
      <w:tr w:rsidR="00325422" w:rsidRPr="004D621E" w14:paraId="62160E67"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4536" w:type="dxa"/>
            <w:tcBorders>
              <w:top w:val="single" w:sz="4" w:space="0" w:color="000000"/>
              <w:left w:val="single" w:sz="4" w:space="0" w:color="000000"/>
              <w:bottom w:val="single" w:sz="4" w:space="0" w:color="000000"/>
              <w:right w:val="single" w:sz="4" w:space="0" w:color="000000"/>
            </w:tcBorders>
          </w:tcPr>
          <w:p w14:paraId="5090BB7B" w14:textId="77777777" w:rsidR="00B43875" w:rsidRPr="0076798F" w:rsidRDefault="00B43875" w:rsidP="00B43875">
            <w:pPr>
              <w:spacing w:after="120"/>
              <w:rPr>
                <w:bCs/>
                <w:sz w:val="20"/>
                <w:szCs w:val="20"/>
                <w:lang w:val="en-US"/>
              </w:rPr>
            </w:pPr>
            <w:r w:rsidRPr="0076798F">
              <w:rPr>
                <w:bCs/>
                <w:sz w:val="20"/>
                <w:szCs w:val="20"/>
                <w:u w:val="single"/>
                <w:lang w:val="en-US"/>
              </w:rPr>
              <w:t>COURSE BOOK:</w:t>
            </w:r>
          </w:p>
          <w:p w14:paraId="5B754E00" w14:textId="77777777" w:rsidR="00B43875" w:rsidRPr="0076798F" w:rsidRDefault="00B43875" w:rsidP="00B43875">
            <w:pPr>
              <w:numPr>
                <w:ilvl w:val="0"/>
                <w:numId w:val="6"/>
              </w:numPr>
              <w:spacing w:before="50" w:after="50" w:line="240" w:lineRule="auto"/>
              <w:rPr>
                <w:sz w:val="20"/>
                <w:szCs w:val="20"/>
                <w:lang w:val="en-US"/>
              </w:rPr>
            </w:pPr>
            <w:r w:rsidRPr="0076798F">
              <w:rPr>
                <w:sz w:val="20"/>
                <w:szCs w:val="20"/>
                <w:lang w:val="en-US"/>
              </w:rPr>
              <w:t>Solomon M. (2015) Consumer behavior (12</w:t>
            </w:r>
            <w:r w:rsidRPr="0076798F">
              <w:rPr>
                <w:sz w:val="20"/>
                <w:szCs w:val="20"/>
                <w:vertAlign w:val="superscript"/>
                <w:lang w:val="en-US"/>
              </w:rPr>
              <w:t>th</w:t>
            </w:r>
            <w:r w:rsidRPr="0076798F">
              <w:rPr>
                <w:sz w:val="20"/>
                <w:szCs w:val="20"/>
                <w:lang w:val="en-US"/>
              </w:rPr>
              <w:t xml:space="preserve"> ed.), Boston: Pearson</w:t>
            </w:r>
          </w:p>
          <w:p w14:paraId="3E3E3A8E" w14:textId="77777777" w:rsidR="00B43875" w:rsidRPr="0076798F" w:rsidRDefault="00B43875" w:rsidP="00B43875">
            <w:pPr>
              <w:spacing w:before="120" w:after="120"/>
              <w:rPr>
                <w:bCs/>
                <w:sz w:val="20"/>
                <w:szCs w:val="20"/>
                <w:lang w:val="en-US"/>
              </w:rPr>
            </w:pPr>
            <w:r w:rsidRPr="0076798F">
              <w:rPr>
                <w:bCs/>
                <w:sz w:val="20"/>
                <w:szCs w:val="20"/>
                <w:u w:val="single"/>
                <w:lang w:val="en-US"/>
              </w:rPr>
              <w:t>COMPLEMENTARY READING:</w:t>
            </w:r>
          </w:p>
          <w:p w14:paraId="74592A48" w14:textId="77777777" w:rsidR="00B43875" w:rsidRPr="0076798F" w:rsidRDefault="00B43875" w:rsidP="00B43875">
            <w:pPr>
              <w:numPr>
                <w:ilvl w:val="0"/>
                <w:numId w:val="6"/>
              </w:numPr>
              <w:spacing w:after="0" w:line="240" w:lineRule="auto"/>
              <w:rPr>
                <w:bCs/>
                <w:sz w:val="20"/>
                <w:szCs w:val="20"/>
                <w:lang w:val="en-US"/>
              </w:rPr>
            </w:pPr>
            <w:r w:rsidRPr="0076798F">
              <w:rPr>
                <w:sz w:val="20"/>
                <w:szCs w:val="20"/>
                <w:lang w:val="en-US"/>
              </w:rPr>
              <w:t>Hoyer W., MacInnis, D., Pieters R.(2018). Consumer Behavior (7</w:t>
            </w:r>
            <w:r w:rsidRPr="0076798F">
              <w:rPr>
                <w:sz w:val="20"/>
                <w:szCs w:val="20"/>
                <w:vertAlign w:val="superscript"/>
                <w:lang w:val="en-US"/>
              </w:rPr>
              <w:t>th</w:t>
            </w:r>
            <w:r w:rsidRPr="0076798F">
              <w:rPr>
                <w:sz w:val="20"/>
                <w:szCs w:val="20"/>
                <w:lang w:val="en-US"/>
              </w:rPr>
              <w:t xml:space="preserve"> ed., Cenagage Learning</w:t>
            </w:r>
            <w:r w:rsidRPr="0076798F">
              <w:rPr>
                <w:bCs/>
                <w:sz w:val="20"/>
                <w:szCs w:val="20"/>
                <w:lang w:val="en-US"/>
              </w:rPr>
              <w:t xml:space="preserve"> </w:t>
            </w:r>
          </w:p>
          <w:p w14:paraId="1BB7FE0D" w14:textId="77777777" w:rsidR="00B43875" w:rsidRPr="0076798F" w:rsidRDefault="00B43875" w:rsidP="00B43875">
            <w:pPr>
              <w:numPr>
                <w:ilvl w:val="0"/>
                <w:numId w:val="6"/>
              </w:numPr>
              <w:spacing w:before="50" w:after="50" w:line="240" w:lineRule="auto"/>
              <w:rPr>
                <w:sz w:val="20"/>
                <w:szCs w:val="20"/>
                <w:lang w:val="en-US"/>
              </w:rPr>
            </w:pPr>
            <w:r w:rsidRPr="0076798F">
              <w:rPr>
                <w:sz w:val="20"/>
                <w:szCs w:val="20"/>
                <w:lang w:val="en-US"/>
              </w:rPr>
              <w:t>Evans, M., Jamal, A., Foxall, G. (2011). Consumer Behaviour (2</w:t>
            </w:r>
            <w:r w:rsidRPr="0076798F">
              <w:rPr>
                <w:sz w:val="20"/>
                <w:szCs w:val="20"/>
                <w:vertAlign w:val="superscript"/>
                <w:lang w:val="en-US"/>
              </w:rPr>
              <w:t>nd</w:t>
            </w:r>
            <w:r w:rsidRPr="0076798F">
              <w:rPr>
                <w:sz w:val="20"/>
                <w:szCs w:val="20"/>
                <w:lang w:val="en-US"/>
              </w:rPr>
              <w:t xml:space="preserve">  ed.). New York: Wiley.</w:t>
            </w:r>
          </w:p>
          <w:p w14:paraId="2FD6E4D8" w14:textId="77777777" w:rsidR="00325422" w:rsidRPr="004D621E" w:rsidRDefault="00325422" w:rsidP="004D621E">
            <w:pPr>
              <w:spacing w:after="0" w:line="276" w:lineRule="auto"/>
              <w:ind w:left="361" w:firstLine="0"/>
            </w:pPr>
            <w:r w:rsidRPr="004D621E">
              <w:rPr>
                <w:i/>
                <w:color w:val="007F00"/>
              </w:rPr>
              <w:t xml:space="preserve"> </w:t>
            </w:r>
          </w:p>
        </w:tc>
      </w:tr>
      <w:tr w:rsidR="00325422" w:rsidRPr="004D621E" w14:paraId="2FAEF6D3"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9DF1ED6"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37BB6CB8"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4536" w:type="dxa"/>
            <w:tcBorders>
              <w:top w:val="single" w:sz="4" w:space="0" w:color="000000"/>
              <w:left w:val="single" w:sz="4" w:space="0" w:color="000000"/>
              <w:bottom w:val="single" w:sz="4" w:space="0" w:color="000000"/>
              <w:right w:val="single" w:sz="4" w:space="0" w:color="000000"/>
            </w:tcBorders>
          </w:tcPr>
          <w:p w14:paraId="382327D2" w14:textId="77777777" w:rsidR="00325422" w:rsidRPr="004D621E" w:rsidRDefault="00325422" w:rsidP="004D621E">
            <w:pPr>
              <w:spacing w:after="0" w:line="276" w:lineRule="auto"/>
              <w:ind w:left="361" w:firstLine="0"/>
            </w:pPr>
            <w:r w:rsidRPr="004D621E">
              <w:rPr>
                <w:b/>
              </w:rPr>
              <w:t xml:space="preserve"> </w:t>
            </w:r>
          </w:p>
        </w:tc>
      </w:tr>
      <w:tr w:rsidR="00325422" w:rsidRPr="004D621E" w14:paraId="4282D8D7" w14:textId="77777777" w:rsidTr="0072666F">
        <w:trPr>
          <w:trHeight w:val="216"/>
        </w:trPr>
        <w:tc>
          <w:tcPr>
            <w:tcW w:w="4921"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r w:rsidRPr="004D621E">
              <w:t>Group instructors</w:t>
            </w:r>
          </w:p>
        </w:tc>
        <w:tc>
          <w:tcPr>
            <w:tcW w:w="4536" w:type="dxa"/>
            <w:tcBorders>
              <w:top w:val="single" w:sz="4" w:space="0" w:color="000000"/>
              <w:left w:val="single" w:sz="4" w:space="0" w:color="000000"/>
              <w:bottom w:val="single" w:sz="4" w:space="0" w:color="000000"/>
              <w:right w:val="single" w:sz="4" w:space="0" w:color="000000"/>
            </w:tcBorders>
          </w:tcPr>
          <w:p w14:paraId="2DCD92BB" w14:textId="77777777" w:rsidR="00325422" w:rsidRPr="004D621E" w:rsidRDefault="00325422" w:rsidP="004D621E">
            <w:pPr>
              <w:spacing w:after="0" w:line="276" w:lineRule="auto"/>
              <w:ind w:left="361" w:firstLine="0"/>
            </w:pPr>
            <w:r w:rsidRPr="004D621E">
              <w:rPr>
                <w:b/>
              </w:rPr>
              <w:t xml:space="preserve"> </w:t>
            </w:r>
          </w:p>
        </w:tc>
      </w:tr>
      <w:tr w:rsidR="00325422" w:rsidRPr="004D621E" w14:paraId="7631AEA4" w14:textId="77777777" w:rsidTr="0072666F">
        <w:trPr>
          <w:trHeight w:val="218"/>
        </w:trPr>
        <w:tc>
          <w:tcPr>
            <w:tcW w:w="4921"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4536"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5063"/>
        <w:gridCol w:w="4401"/>
      </w:tblGrid>
      <w:tr w:rsidR="00B06052" w:rsidRPr="004D621E" w14:paraId="6704B5BB"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4401"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76798F">
        <w:trPr>
          <w:trHeight w:val="218"/>
        </w:trPr>
        <w:tc>
          <w:tcPr>
            <w:tcW w:w="5063"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4401" w:type="dxa"/>
            <w:tcBorders>
              <w:top w:val="single" w:sz="4" w:space="0" w:color="000000"/>
              <w:left w:val="single" w:sz="4" w:space="0" w:color="000000"/>
              <w:bottom w:val="single" w:sz="4" w:space="0" w:color="000000"/>
              <w:right w:val="single" w:sz="4" w:space="0" w:color="000000"/>
            </w:tcBorders>
          </w:tcPr>
          <w:p w14:paraId="738185CE" w14:textId="41DB643D" w:rsidR="00325422" w:rsidRPr="004D621E" w:rsidRDefault="00325422" w:rsidP="00883FAD">
            <w:pPr>
              <w:spacing w:after="0" w:line="276" w:lineRule="auto"/>
              <w:ind w:left="1" w:firstLine="0"/>
            </w:pPr>
            <w:r w:rsidRPr="004D621E">
              <w:rPr>
                <w:b/>
              </w:rPr>
              <w:t xml:space="preserve"> </w:t>
            </w:r>
            <w:r w:rsidR="0076798F">
              <w:rPr>
                <w:b/>
              </w:rPr>
              <w:t>Agnieszka Kacprzak</w:t>
            </w:r>
          </w:p>
        </w:tc>
      </w:tr>
      <w:tr w:rsidR="00325422" w:rsidRPr="004D621E" w14:paraId="4868B4FC"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4401" w:type="dxa"/>
            <w:tcBorders>
              <w:top w:val="single" w:sz="4" w:space="0" w:color="000000"/>
              <w:left w:val="single" w:sz="4" w:space="0" w:color="000000"/>
              <w:bottom w:val="single" w:sz="4" w:space="0" w:color="000000"/>
              <w:right w:val="single" w:sz="4" w:space="0" w:color="000000"/>
            </w:tcBorders>
          </w:tcPr>
          <w:p w14:paraId="4860E61D" w14:textId="5BCF8471" w:rsidR="00325422" w:rsidRPr="004D621E" w:rsidRDefault="00325422" w:rsidP="00883FAD">
            <w:pPr>
              <w:spacing w:after="0" w:line="276" w:lineRule="auto"/>
              <w:ind w:left="1" w:firstLine="0"/>
            </w:pPr>
            <w:r w:rsidRPr="004D621E">
              <w:rPr>
                <w:b/>
              </w:rPr>
              <w:t xml:space="preserve"> </w:t>
            </w:r>
            <w:r w:rsidR="0076798F">
              <w:rPr>
                <w:b/>
              </w:rPr>
              <w:t>Consumer Behavior</w:t>
            </w:r>
          </w:p>
        </w:tc>
      </w:tr>
      <w:tr w:rsidR="00325422" w:rsidRPr="004D621E" w14:paraId="30545EBB"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4401" w:type="dxa"/>
            <w:tcBorders>
              <w:top w:val="single" w:sz="4" w:space="0" w:color="000000"/>
              <w:left w:val="single" w:sz="4" w:space="0" w:color="000000"/>
              <w:bottom w:val="single" w:sz="4" w:space="0" w:color="000000"/>
              <w:right w:val="single" w:sz="4" w:space="0" w:color="000000"/>
            </w:tcBorders>
          </w:tcPr>
          <w:p w14:paraId="73EB98DD" w14:textId="3B6F4403" w:rsidR="00325422" w:rsidRPr="004D621E" w:rsidRDefault="00325422" w:rsidP="00883FAD">
            <w:pPr>
              <w:spacing w:after="0" w:line="276" w:lineRule="auto"/>
              <w:ind w:left="1" w:firstLine="0"/>
            </w:pPr>
            <w:r w:rsidRPr="004D621E">
              <w:t xml:space="preserve"> </w:t>
            </w:r>
            <w:r w:rsidR="0076798F">
              <w:t>conversatory</w:t>
            </w:r>
          </w:p>
        </w:tc>
      </w:tr>
      <w:tr w:rsidR="00325422" w:rsidRPr="004D621E" w14:paraId="297C743D"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tcPr>
          <w:p w14:paraId="2FC2FCEF" w14:textId="6947BEF7" w:rsidR="00325422" w:rsidRPr="004D621E" w:rsidRDefault="00B06052" w:rsidP="00883FAD">
            <w:pPr>
              <w:spacing w:after="0" w:line="276" w:lineRule="auto"/>
              <w:ind w:left="0" w:firstLine="0"/>
            </w:pPr>
            <w:r w:rsidRPr="004D621E">
              <w:t>Learning outcomes defined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10C6D5AA" w14:textId="77777777" w:rsidR="0076798F" w:rsidRPr="00724070" w:rsidRDefault="00325422" w:rsidP="0076798F">
            <w:pPr>
              <w:pStyle w:val="Tekstpodstawowy2"/>
              <w:rPr>
                <w:rFonts w:ascii="Arial" w:hAnsi="Arial" w:cs="Arial"/>
                <w:b w:val="0"/>
                <w:sz w:val="20"/>
                <w:lang w:val="en-US"/>
              </w:rPr>
            </w:pPr>
            <w:r w:rsidRPr="004D621E">
              <w:t xml:space="preserve"> </w:t>
            </w:r>
            <w:r w:rsidR="0076798F" w:rsidRPr="00724070">
              <w:rPr>
                <w:rFonts w:ascii="Arial" w:hAnsi="Arial" w:cs="Arial"/>
                <w:b w:val="0"/>
                <w:sz w:val="20"/>
                <w:lang w:val="en-US"/>
              </w:rPr>
              <w:t>After completing the course students:</w:t>
            </w:r>
          </w:p>
          <w:p w14:paraId="36FF9115" w14:textId="77777777" w:rsidR="0076798F" w:rsidRPr="00724070" w:rsidRDefault="0076798F" w:rsidP="0076798F">
            <w:pPr>
              <w:pStyle w:val="Tekstpodstawowy2"/>
              <w:rPr>
                <w:rFonts w:ascii="Arial" w:hAnsi="Arial" w:cs="Arial"/>
                <w:b w:val="0"/>
                <w:sz w:val="20"/>
                <w:lang w:val="en-US"/>
              </w:rPr>
            </w:pPr>
          </w:p>
          <w:p w14:paraId="056DA08F"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 xml:space="preserve">K_W01 know and understand the general methodology of consumer research as well as concepts and models related to the consumer  decision-making process </w:t>
            </w:r>
          </w:p>
          <w:p w14:paraId="59B53DD4"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 xml:space="preserve">K_W02 understand the importance of consumer behaviour modelling for marketing activities designing </w:t>
            </w:r>
          </w:p>
          <w:p w14:paraId="1911CA7B"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K_W04 know and understand the fundamental dilemmas of the contemporary consumer in terms of satisfying food needs, health and the future of civilization</w:t>
            </w:r>
          </w:p>
          <w:p w14:paraId="5A9189B4"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K_W05 know and understand the determinants of consumer decision-making processes in the food market</w:t>
            </w:r>
          </w:p>
          <w:p w14:paraId="1C5CA100"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K_U01 can and are able to use knowledge in the field of social sciences and theoretical models to recognise, diagnose attitudes and consumer behaviour and to suggest general marketing solutions.</w:t>
            </w:r>
          </w:p>
          <w:p w14:paraId="289931FA"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K_U02 can and are able to identify factors and interpret their impact on consumer attitudes and behaviour on the food market</w:t>
            </w:r>
          </w:p>
          <w:p w14:paraId="181F0769"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K_U04  can and are able to analyse and diagnose the impact of marketing activities on consumer behaviour and communicatively present the effect of their work and debate in English</w:t>
            </w:r>
          </w:p>
          <w:p w14:paraId="796BF479"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lastRenderedPageBreak/>
              <w:t>K_U06 can and are able to plan and organise own work and team work</w:t>
            </w:r>
          </w:p>
          <w:p w14:paraId="3D8EC20A"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K_U07 can and are able to broaden knowledge about consumer attitudes and behaviours</w:t>
            </w:r>
          </w:p>
          <w:p w14:paraId="28B6CBAE" w14:textId="77777777" w:rsidR="0076798F" w:rsidRPr="00724070" w:rsidRDefault="0076798F" w:rsidP="0076798F">
            <w:pPr>
              <w:pStyle w:val="Tekstpodstawowy2"/>
              <w:rPr>
                <w:rFonts w:ascii="Arial" w:hAnsi="Arial" w:cs="Arial"/>
                <w:b w:val="0"/>
                <w:sz w:val="20"/>
                <w:lang w:val="en-US"/>
              </w:rPr>
            </w:pPr>
            <w:r w:rsidRPr="00724070">
              <w:rPr>
                <w:rFonts w:ascii="Arial" w:hAnsi="Arial" w:cs="Arial"/>
                <w:b w:val="0"/>
                <w:sz w:val="20"/>
                <w:lang w:val="en-US"/>
              </w:rPr>
              <w:t>K_K01 are ready to express critical opinions and discuss the impact on the attitudes and behaviours of consumers, as well as to consult experts</w:t>
            </w:r>
          </w:p>
          <w:p w14:paraId="666E1DDC" w14:textId="07B0A815" w:rsidR="00325422" w:rsidRPr="004D621E" w:rsidRDefault="0076798F" w:rsidP="0076798F">
            <w:pPr>
              <w:spacing w:after="0" w:line="276" w:lineRule="auto"/>
              <w:ind w:left="1" w:firstLine="0"/>
            </w:pPr>
            <w:r w:rsidRPr="00724070">
              <w:rPr>
                <w:sz w:val="20"/>
                <w:lang w:val="en-US"/>
              </w:rPr>
              <w:t>K_K02 are ready to take responsibility for the impact of marketing activities on the attitudes and behaviours of consumers, giving priority to ethics and the good of the consumer over sales targets</w:t>
            </w:r>
          </w:p>
        </w:tc>
      </w:tr>
      <w:tr w:rsidR="00325422" w:rsidRPr="004D621E" w14:paraId="2096DE5A"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lastRenderedPageBreak/>
              <w:t>Assessment methods and assessment criteria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32F6E0F6" w14:textId="77777777" w:rsidR="0076798F" w:rsidRPr="00B43875" w:rsidRDefault="00325422" w:rsidP="0076798F">
            <w:pPr>
              <w:pStyle w:val="Akapitzlist"/>
              <w:numPr>
                <w:ilvl w:val="0"/>
                <w:numId w:val="5"/>
              </w:numPr>
              <w:spacing w:before="50" w:after="50"/>
              <w:jc w:val="both"/>
              <w:rPr>
                <w:sz w:val="20"/>
                <w:szCs w:val="20"/>
                <w:lang w:val="en-US"/>
              </w:rPr>
            </w:pPr>
            <w:r w:rsidRPr="004D621E">
              <w:rPr>
                <w:lang w:val="en-GB"/>
              </w:rPr>
              <w:t xml:space="preserve"> </w:t>
            </w:r>
            <w:r w:rsidR="0076798F" w:rsidRPr="00B43875">
              <w:rPr>
                <w:sz w:val="20"/>
                <w:szCs w:val="20"/>
                <w:lang w:val="en-US"/>
              </w:rPr>
              <w:t xml:space="preserve">Attendance – 10% </w:t>
            </w:r>
          </w:p>
          <w:p w14:paraId="44210F7D" w14:textId="77777777" w:rsidR="0076798F" w:rsidRPr="00B43875" w:rsidRDefault="0076798F" w:rsidP="0076798F">
            <w:pPr>
              <w:pStyle w:val="Akapitzlist"/>
              <w:numPr>
                <w:ilvl w:val="0"/>
                <w:numId w:val="5"/>
              </w:numPr>
              <w:spacing w:before="50" w:after="50"/>
              <w:jc w:val="both"/>
              <w:rPr>
                <w:sz w:val="20"/>
                <w:szCs w:val="20"/>
                <w:lang w:val="en-US"/>
              </w:rPr>
            </w:pPr>
            <w:r w:rsidRPr="00B43875">
              <w:rPr>
                <w:sz w:val="20"/>
                <w:szCs w:val="20"/>
                <w:lang w:val="en-US"/>
              </w:rPr>
              <w:t>Group assignments/ Homework</w:t>
            </w:r>
            <w:r>
              <w:rPr>
                <w:sz w:val="20"/>
                <w:szCs w:val="20"/>
                <w:lang w:val="en-US"/>
              </w:rPr>
              <w:t>s</w:t>
            </w:r>
            <w:r w:rsidRPr="00B43875">
              <w:rPr>
                <w:sz w:val="20"/>
                <w:szCs w:val="20"/>
                <w:lang w:val="en-US"/>
              </w:rPr>
              <w:t xml:space="preserve"> – 40% </w:t>
            </w:r>
          </w:p>
          <w:p w14:paraId="435C0B3F" w14:textId="77777777" w:rsidR="0076798F" w:rsidRPr="00B43875" w:rsidRDefault="0076798F" w:rsidP="0076798F">
            <w:pPr>
              <w:pStyle w:val="Akapitzlist"/>
              <w:numPr>
                <w:ilvl w:val="0"/>
                <w:numId w:val="5"/>
              </w:numPr>
              <w:spacing w:before="50" w:after="50"/>
              <w:jc w:val="both"/>
              <w:rPr>
                <w:color w:val="007F00"/>
                <w:lang w:val="en-GB"/>
              </w:rPr>
            </w:pPr>
            <w:r w:rsidRPr="00B43875">
              <w:rPr>
                <w:sz w:val="20"/>
                <w:szCs w:val="20"/>
                <w:lang w:val="en-US"/>
              </w:rPr>
              <w:t xml:space="preserve">Final test – 50% </w:t>
            </w:r>
          </w:p>
          <w:p w14:paraId="3D284BC0" w14:textId="77777777" w:rsidR="0076798F" w:rsidRPr="0065256E" w:rsidRDefault="0076798F" w:rsidP="0076798F">
            <w:pPr>
              <w:spacing w:before="50" w:after="50"/>
              <w:jc w:val="both"/>
              <w:rPr>
                <w:bCs/>
                <w:sz w:val="20"/>
                <w:szCs w:val="20"/>
                <w:lang w:val="en-US"/>
              </w:rPr>
            </w:pPr>
            <w:r w:rsidRPr="0065256E">
              <w:rPr>
                <w:bCs/>
                <w:sz w:val="20"/>
                <w:szCs w:val="20"/>
                <w:lang w:val="en-US"/>
              </w:rPr>
              <w:t>Final grades:</w:t>
            </w:r>
          </w:p>
          <w:p w14:paraId="4DEED2C0" w14:textId="77777777" w:rsidR="0076798F" w:rsidRPr="0065256E" w:rsidRDefault="0076798F" w:rsidP="0076798F">
            <w:pPr>
              <w:spacing w:before="50" w:after="50"/>
              <w:jc w:val="both"/>
              <w:rPr>
                <w:bCs/>
                <w:sz w:val="20"/>
                <w:szCs w:val="20"/>
                <w:lang w:val="en-US"/>
              </w:rPr>
            </w:pPr>
            <w:r w:rsidRPr="0065256E">
              <w:rPr>
                <w:bCs/>
                <w:sz w:val="20"/>
                <w:szCs w:val="20"/>
                <w:lang w:val="en-US"/>
              </w:rPr>
              <w:t>0-29 pts– 2 (unsatisfactory)</w:t>
            </w:r>
          </w:p>
          <w:p w14:paraId="5E17ECF6" w14:textId="77777777" w:rsidR="0076798F" w:rsidRPr="0065256E" w:rsidRDefault="0076798F" w:rsidP="0076798F">
            <w:pPr>
              <w:spacing w:before="50" w:after="50"/>
              <w:jc w:val="both"/>
              <w:rPr>
                <w:bCs/>
                <w:sz w:val="20"/>
                <w:szCs w:val="20"/>
                <w:lang w:val="en-US"/>
              </w:rPr>
            </w:pPr>
            <w:r w:rsidRPr="0065256E">
              <w:rPr>
                <w:bCs/>
                <w:sz w:val="20"/>
                <w:szCs w:val="20"/>
                <w:lang w:val="en-US"/>
              </w:rPr>
              <w:t>30-34 pts– 3 (sufficient)</w:t>
            </w:r>
          </w:p>
          <w:p w14:paraId="56EA71B5" w14:textId="77777777" w:rsidR="0076798F" w:rsidRPr="0065256E" w:rsidRDefault="0076798F" w:rsidP="0076798F">
            <w:pPr>
              <w:spacing w:before="50" w:after="50"/>
              <w:jc w:val="both"/>
              <w:rPr>
                <w:bCs/>
                <w:sz w:val="20"/>
                <w:szCs w:val="20"/>
                <w:lang w:val="en-US"/>
              </w:rPr>
            </w:pPr>
            <w:r w:rsidRPr="0065256E">
              <w:rPr>
                <w:bCs/>
                <w:sz w:val="20"/>
                <w:szCs w:val="20"/>
                <w:lang w:val="en-US"/>
              </w:rPr>
              <w:t>35-39 pts– 3,5 (satisfactory)</w:t>
            </w:r>
          </w:p>
          <w:p w14:paraId="7B190C82" w14:textId="77777777" w:rsidR="0076798F" w:rsidRPr="0065256E" w:rsidRDefault="0076798F" w:rsidP="0076798F">
            <w:pPr>
              <w:spacing w:before="50" w:after="50"/>
              <w:jc w:val="both"/>
              <w:rPr>
                <w:bCs/>
                <w:sz w:val="20"/>
                <w:szCs w:val="20"/>
                <w:lang w:val="en-US"/>
              </w:rPr>
            </w:pPr>
            <w:r w:rsidRPr="0065256E">
              <w:rPr>
                <w:bCs/>
                <w:sz w:val="20"/>
                <w:szCs w:val="20"/>
                <w:lang w:val="en-US"/>
              </w:rPr>
              <w:t>40-44 pts– 4,0 (good)</w:t>
            </w:r>
          </w:p>
          <w:p w14:paraId="0B01DCAD" w14:textId="77777777" w:rsidR="0076798F" w:rsidRPr="0065256E" w:rsidRDefault="0076798F" w:rsidP="0076798F">
            <w:pPr>
              <w:spacing w:before="50" w:after="50"/>
              <w:jc w:val="both"/>
              <w:rPr>
                <w:bCs/>
                <w:sz w:val="20"/>
                <w:szCs w:val="20"/>
                <w:lang w:val="en-US"/>
              </w:rPr>
            </w:pPr>
            <w:r w:rsidRPr="0065256E">
              <w:rPr>
                <w:bCs/>
                <w:sz w:val="20"/>
                <w:szCs w:val="20"/>
                <w:lang w:val="en-US"/>
              </w:rPr>
              <w:t>45-49 pts– 4,5 (fairly good)</w:t>
            </w:r>
          </w:p>
          <w:p w14:paraId="617B9FA7" w14:textId="77777777" w:rsidR="0076798F" w:rsidRPr="0065256E" w:rsidRDefault="0076798F" w:rsidP="0076798F">
            <w:pPr>
              <w:spacing w:before="50" w:after="50"/>
              <w:jc w:val="both"/>
              <w:rPr>
                <w:bCs/>
                <w:sz w:val="20"/>
                <w:szCs w:val="20"/>
                <w:lang w:val="en-US"/>
              </w:rPr>
            </w:pPr>
            <w:r w:rsidRPr="0065256E">
              <w:rPr>
                <w:bCs/>
                <w:sz w:val="20"/>
                <w:szCs w:val="20"/>
                <w:lang w:val="en-US"/>
              </w:rPr>
              <w:t>50-59 pts– 5,0 (very good)</w:t>
            </w:r>
          </w:p>
          <w:p w14:paraId="337B69CE" w14:textId="5EA8BC75" w:rsidR="00325422" w:rsidRPr="004D621E" w:rsidRDefault="0076798F" w:rsidP="0076798F">
            <w:pPr>
              <w:spacing w:after="0" w:line="276" w:lineRule="auto"/>
              <w:ind w:left="1" w:firstLine="0"/>
              <w:rPr>
                <w:lang w:val="en-GB"/>
              </w:rPr>
            </w:pPr>
            <w:r w:rsidRPr="0065256E">
              <w:rPr>
                <w:bCs/>
                <w:sz w:val="20"/>
                <w:szCs w:val="20"/>
                <w:lang w:val="en-US"/>
              </w:rPr>
              <w:t>60 pts – 5,5 (excellent)</w:t>
            </w:r>
          </w:p>
        </w:tc>
      </w:tr>
      <w:tr w:rsidR="00325422" w:rsidRPr="004D621E" w14:paraId="459489CE" w14:textId="77777777" w:rsidTr="0076798F">
        <w:trPr>
          <w:trHeight w:val="218"/>
        </w:trPr>
        <w:tc>
          <w:tcPr>
            <w:tcW w:w="5063"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737E0BB8" w14:textId="77777777" w:rsidR="00325422" w:rsidRPr="004D621E" w:rsidRDefault="00325422" w:rsidP="00883FAD">
            <w:pPr>
              <w:spacing w:after="0" w:line="276" w:lineRule="auto"/>
              <w:ind w:left="1" w:firstLine="0"/>
              <w:rPr>
                <w:lang w:val="en-GB"/>
              </w:rPr>
            </w:pPr>
            <w:r w:rsidRPr="004D621E">
              <w:rPr>
                <w:lang w:val="en-GB"/>
              </w:rPr>
              <w:t xml:space="preserve"> </w:t>
            </w:r>
          </w:p>
        </w:tc>
      </w:tr>
      <w:tr w:rsidR="00325422" w:rsidRPr="004D621E" w14:paraId="378D696C"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4401" w:type="dxa"/>
            <w:tcBorders>
              <w:top w:val="single" w:sz="4" w:space="0" w:color="000000"/>
              <w:left w:val="single" w:sz="4" w:space="0" w:color="000000"/>
              <w:bottom w:val="single" w:sz="4" w:space="0" w:color="000000"/>
              <w:right w:val="single" w:sz="4" w:space="0" w:color="000000"/>
            </w:tcBorders>
          </w:tcPr>
          <w:p w14:paraId="7F3836A8" w14:textId="77777777" w:rsidR="0076798F" w:rsidRPr="004F597C" w:rsidRDefault="00325422" w:rsidP="0076798F">
            <w:pPr>
              <w:pStyle w:val="Akapitzlist"/>
              <w:numPr>
                <w:ilvl w:val="0"/>
                <w:numId w:val="7"/>
              </w:numPr>
              <w:spacing w:before="50" w:after="50"/>
              <w:jc w:val="both"/>
              <w:rPr>
                <w:rFonts w:ascii="Arial" w:hAnsi="Arial" w:cs="Arial"/>
                <w:sz w:val="20"/>
                <w:szCs w:val="20"/>
                <w:lang w:val="en-US"/>
              </w:rPr>
            </w:pPr>
            <w:r w:rsidRPr="004D621E">
              <w:t xml:space="preserve"> </w:t>
            </w:r>
            <w:r w:rsidR="0076798F" w:rsidRPr="004F597C">
              <w:rPr>
                <w:rFonts w:ascii="Arial" w:hAnsi="Arial" w:cs="Arial"/>
                <w:sz w:val="20"/>
                <w:szCs w:val="20"/>
                <w:lang w:val="en-US"/>
              </w:rPr>
              <w:t xml:space="preserve">Foundations of consumer behavior </w:t>
            </w:r>
          </w:p>
          <w:p w14:paraId="2A95D5A6" w14:textId="77777777" w:rsidR="0076798F" w:rsidRPr="004F597C" w:rsidRDefault="0076798F" w:rsidP="0076798F">
            <w:pPr>
              <w:pStyle w:val="Akapitzlist"/>
              <w:numPr>
                <w:ilvl w:val="0"/>
                <w:numId w:val="7"/>
              </w:numPr>
              <w:spacing w:before="50" w:after="50"/>
              <w:jc w:val="both"/>
              <w:rPr>
                <w:rFonts w:ascii="Arial" w:hAnsi="Arial" w:cs="Arial"/>
                <w:sz w:val="20"/>
                <w:szCs w:val="20"/>
                <w:lang w:val="en-US"/>
              </w:rPr>
            </w:pPr>
            <w:r w:rsidRPr="004F597C">
              <w:rPr>
                <w:rFonts w:ascii="Arial" w:hAnsi="Arial" w:cs="Arial"/>
                <w:sz w:val="20"/>
                <w:szCs w:val="20"/>
                <w:lang w:val="en-US"/>
              </w:rPr>
              <w:t xml:space="preserve">Internal factors influencing consumer behavior: </w:t>
            </w:r>
          </w:p>
          <w:p w14:paraId="51321CA4" w14:textId="77777777" w:rsidR="0076798F" w:rsidRPr="004F597C" w:rsidRDefault="0076798F" w:rsidP="0076798F">
            <w:pPr>
              <w:pStyle w:val="Akapitzlist"/>
              <w:numPr>
                <w:ilvl w:val="0"/>
                <w:numId w:val="2"/>
              </w:numPr>
              <w:spacing w:before="50" w:after="50"/>
              <w:jc w:val="both"/>
              <w:rPr>
                <w:rFonts w:ascii="Arial" w:hAnsi="Arial" w:cs="Arial"/>
                <w:sz w:val="20"/>
                <w:szCs w:val="20"/>
                <w:lang w:val="en-US"/>
              </w:rPr>
            </w:pPr>
            <w:r w:rsidRPr="004F597C">
              <w:rPr>
                <w:rFonts w:ascii="Arial" w:hAnsi="Arial" w:cs="Arial"/>
                <w:sz w:val="20"/>
                <w:szCs w:val="20"/>
                <w:lang w:val="en-US"/>
              </w:rPr>
              <w:t xml:space="preserve">Consumers psychology  </w:t>
            </w:r>
          </w:p>
          <w:p w14:paraId="0A81A988" w14:textId="77777777" w:rsidR="0076798F" w:rsidRPr="004F597C" w:rsidRDefault="0076798F" w:rsidP="0076798F">
            <w:pPr>
              <w:pStyle w:val="Akapitzlist"/>
              <w:numPr>
                <w:ilvl w:val="0"/>
                <w:numId w:val="2"/>
              </w:numPr>
              <w:spacing w:before="50" w:after="50"/>
              <w:jc w:val="both"/>
              <w:rPr>
                <w:rFonts w:ascii="Arial" w:hAnsi="Arial" w:cs="Arial"/>
                <w:sz w:val="20"/>
                <w:szCs w:val="20"/>
                <w:lang w:val="en-US"/>
              </w:rPr>
            </w:pPr>
            <w:r w:rsidRPr="004F597C">
              <w:rPr>
                <w:rFonts w:ascii="Arial" w:hAnsi="Arial" w:cs="Arial"/>
                <w:sz w:val="20"/>
                <w:szCs w:val="20"/>
                <w:lang w:val="en-US"/>
              </w:rPr>
              <w:t xml:space="preserve">Consumers demography (gender, age) </w:t>
            </w:r>
          </w:p>
          <w:p w14:paraId="2B5173BD" w14:textId="77777777" w:rsidR="0076798F" w:rsidRPr="004F597C" w:rsidRDefault="0076798F" w:rsidP="0076798F">
            <w:pPr>
              <w:pStyle w:val="Akapitzlist"/>
              <w:numPr>
                <w:ilvl w:val="0"/>
                <w:numId w:val="7"/>
              </w:numPr>
              <w:spacing w:before="50" w:after="50"/>
              <w:jc w:val="both"/>
              <w:rPr>
                <w:rFonts w:ascii="Arial" w:hAnsi="Arial" w:cs="Arial"/>
                <w:sz w:val="20"/>
                <w:szCs w:val="20"/>
                <w:lang w:val="en-US"/>
              </w:rPr>
            </w:pPr>
            <w:r w:rsidRPr="004F597C">
              <w:rPr>
                <w:rFonts w:ascii="Arial" w:hAnsi="Arial" w:cs="Arial"/>
                <w:sz w:val="20"/>
                <w:szCs w:val="20"/>
                <w:lang w:val="en-US"/>
              </w:rPr>
              <w:t>External factors influencing consumer behavior:</w:t>
            </w:r>
          </w:p>
          <w:p w14:paraId="6ED1EF60" w14:textId="77777777" w:rsidR="0076798F" w:rsidRPr="004F597C" w:rsidRDefault="0076798F" w:rsidP="0076798F">
            <w:pPr>
              <w:pStyle w:val="Akapitzlist"/>
              <w:numPr>
                <w:ilvl w:val="0"/>
                <w:numId w:val="3"/>
              </w:numPr>
              <w:spacing w:before="50" w:after="50"/>
              <w:jc w:val="both"/>
              <w:rPr>
                <w:rFonts w:ascii="Arial" w:hAnsi="Arial" w:cs="Arial"/>
                <w:sz w:val="20"/>
                <w:szCs w:val="20"/>
                <w:lang w:val="en-US"/>
              </w:rPr>
            </w:pPr>
            <w:r w:rsidRPr="004F597C">
              <w:rPr>
                <w:rFonts w:ascii="Arial" w:hAnsi="Arial" w:cs="Arial"/>
                <w:sz w:val="20"/>
                <w:szCs w:val="20"/>
                <w:lang w:val="en-US"/>
              </w:rPr>
              <w:t>Reference group</w:t>
            </w:r>
            <w:r>
              <w:rPr>
                <w:rFonts w:ascii="Arial" w:hAnsi="Arial" w:cs="Arial"/>
                <w:sz w:val="20"/>
                <w:szCs w:val="20"/>
                <w:lang w:val="en-US"/>
              </w:rPr>
              <w:t>s</w:t>
            </w:r>
            <w:r w:rsidRPr="004F597C">
              <w:rPr>
                <w:rFonts w:ascii="Arial" w:hAnsi="Arial" w:cs="Arial"/>
                <w:sz w:val="20"/>
                <w:szCs w:val="20"/>
                <w:lang w:val="en-US"/>
              </w:rPr>
              <w:t xml:space="preserve"> and social class </w:t>
            </w:r>
          </w:p>
          <w:p w14:paraId="06D92E4A" w14:textId="77777777" w:rsidR="0076798F" w:rsidRPr="004F597C" w:rsidRDefault="0076798F" w:rsidP="0076798F">
            <w:pPr>
              <w:pStyle w:val="Akapitzlist"/>
              <w:numPr>
                <w:ilvl w:val="0"/>
                <w:numId w:val="3"/>
              </w:numPr>
              <w:spacing w:before="50" w:after="50"/>
              <w:jc w:val="both"/>
              <w:rPr>
                <w:rFonts w:ascii="Arial" w:hAnsi="Arial" w:cs="Arial"/>
                <w:sz w:val="20"/>
                <w:szCs w:val="20"/>
                <w:lang w:val="en-US"/>
              </w:rPr>
            </w:pPr>
            <w:r w:rsidRPr="004F597C">
              <w:rPr>
                <w:rFonts w:ascii="Arial" w:hAnsi="Arial" w:cs="Arial"/>
                <w:sz w:val="20"/>
                <w:szCs w:val="20"/>
                <w:lang w:val="en-US"/>
              </w:rPr>
              <w:t xml:space="preserve">Culture and globalization  </w:t>
            </w:r>
          </w:p>
          <w:p w14:paraId="54D17C76" w14:textId="77777777" w:rsidR="0076798F" w:rsidRPr="004F597C" w:rsidRDefault="0076798F" w:rsidP="0076798F">
            <w:pPr>
              <w:pStyle w:val="Akapitzlist"/>
              <w:numPr>
                <w:ilvl w:val="0"/>
                <w:numId w:val="7"/>
              </w:numPr>
              <w:spacing w:before="50" w:after="50"/>
              <w:jc w:val="both"/>
              <w:rPr>
                <w:rFonts w:ascii="Arial" w:hAnsi="Arial" w:cs="Arial"/>
                <w:sz w:val="20"/>
                <w:szCs w:val="20"/>
                <w:lang w:val="en-US"/>
              </w:rPr>
            </w:pPr>
            <w:r w:rsidRPr="004F597C">
              <w:rPr>
                <w:rFonts w:ascii="Arial" w:hAnsi="Arial" w:cs="Arial"/>
                <w:sz w:val="20"/>
                <w:szCs w:val="20"/>
                <w:lang w:val="en-US"/>
              </w:rPr>
              <w:t xml:space="preserve">New trends in consumer behavior: </w:t>
            </w:r>
          </w:p>
          <w:p w14:paraId="03A0A1D3" w14:textId="77777777" w:rsidR="0076798F" w:rsidRPr="004F597C" w:rsidRDefault="0076798F" w:rsidP="0076798F">
            <w:pPr>
              <w:pStyle w:val="Akapitzlist"/>
              <w:numPr>
                <w:ilvl w:val="0"/>
                <w:numId w:val="4"/>
              </w:numPr>
              <w:spacing w:before="50" w:after="50"/>
              <w:jc w:val="both"/>
              <w:rPr>
                <w:rFonts w:ascii="Arial" w:hAnsi="Arial" w:cs="Arial"/>
                <w:sz w:val="20"/>
                <w:szCs w:val="20"/>
                <w:lang w:val="en-US"/>
              </w:rPr>
            </w:pPr>
            <w:r w:rsidRPr="004F597C">
              <w:rPr>
                <w:rFonts w:ascii="Arial" w:hAnsi="Arial" w:cs="Arial"/>
                <w:sz w:val="20"/>
                <w:szCs w:val="20"/>
                <w:lang w:val="en-US"/>
              </w:rPr>
              <w:t xml:space="preserve">Consumerism </w:t>
            </w:r>
          </w:p>
          <w:p w14:paraId="446CBECB" w14:textId="77777777" w:rsidR="0076798F" w:rsidRPr="004F597C" w:rsidRDefault="0076798F" w:rsidP="0076798F">
            <w:pPr>
              <w:pStyle w:val="Akapitzlist"/>
              <w:numPr>
                <w:ilvl w:val="0"/>
                <w:numId w:val="4"/>
              </w:numPr>
              <w:spacing w:before="50" w:after="50"/>
              <w:jc w:val="both"/>
              <w:rPr>
                <w:rFonts w:ascii="Arial" w:hAnsi="Arial" w:cs="Arial"/>
                <w:sz w:val="20"/>
                <w:szCs w:val="20"/>
                <w:lang w:val="en-US"/>
              </w:rPr>
            </w:pPr>
            <w:r w:rsidRPr="004F597C">
              <w:rPr>
                <w:rFonts w:ascii="Arial" w:hAnsi="Arial" w:cs="Arial"/>
                <w:sz w:val="20"/>
                <w:szCs w:val="20"/>
                <w:lang w:val="en-US"/>
              </w:rPr>
              <w:t xml:space="preserve">Green consumption </w:t>
            </w:r>
          </w:p>
          <w:p w14:paraId="78037431" w14:textId="1AE052DB" w:rsidR="00325422" w:rsidRPr="004D621E" w:rsidRDefault="0076798F" w:rsidP="0076798F">
            <w:pPr>
              <w:pStyle w:val="Akapitzlist"/>
              <w:numPr>
                <w:ilvl w:val="0"/>
                <w:numId w:val="4"/>
              </w:numPr>
              <w:spacing w:after="0" w:line="276" w:lineRule="auto"/>
            </w:pPr>
            <w:r w:rsidRPr="0076798F">
              <w:rPr>
                <w:sz w:val="20"/>
                <w:szCs w:val="20"/>
                <w:lang w:val="en-US"/>
              </w:rPr>
              <w:t>Internet and social media</w:t>
            </w:r>
          </w:p>
        </w:tc>
      </w:tr>
      <w:tr w:rsidR="00325422" w:rsidRPr="004D621E" w14:paraId="71FD2739"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r w:rsidRPr="004D621E">
              <w:t>Didactic methods</w:t>
            </w:r>
          </w:p>
        </w:tc>
        <w:tc>
          <w:tcPr>
            <w:tcW w:w="4401" w:type="dxa"/>
            <w:tcBorders>
              <w:top w:val="single" w:sz="4" w:space="0" w:color="000000"/>
              <w:left w:val="single" w:sz="4" w:space="0" w:color="000000"/>
              <w:bottom w:val="single" w:sz="4" w:space="0" w:color="000000"/>
              <w:right w:val="single" w:sz="4" w:space="0" w:color="000000"/>
            </w:tcBorders>
          </w:tcPr>
          <w:p w14:paraId="1E02F1A6" w14:textId="05042FC3" w:rsidR="00325422" w:rsidRPr="004D621E" w:rsidRDefault="00325422" w:rsidP="00883FAD">
            <w:pPr>
              <w:spacing w:after="0" w:line="276" w:lineRule="auto"/>
              <w:ind w:left="1" w:firstLine="0"/>
            </w:pPr>
            <w:r w:rsidRPr="004D621E">
              <w:t xml:space="preserve"> </w:t>
            </w:r>
            <w:r w:rsidR="0076798F" w:rsidRPr="00B43875">
              <w:rPr>
                <w:color w:val="auto"/>
                <w:sz w:val="20"/>
                <w:szCs w:val="20"/>
                <w:lang w:val="en-US"/>
              </w:rPr>
              <w:t>PowerPoint presentations, case study, group discussions, class assignments, educational games</w:t>
            </w:r>
          </w:p>
        </w:tc>
      </w:tr>
      <w:tr w:rsidR="00325422" w:rsidRPr="004D621E" w14:paraId="523610F2" w14:textId="77777777" w:rsidTr="0076798F">
        <w:trPr>
          <w:trHeight w:val="218"/>
        </w:trPr>
        <w:tc>
          <w:tcPr>
            <w:tcW w:w="5063"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4401" w:type="dxa"/>
            <w:tcBorders>
              <w:top w:val="single" w:sz="4" w:space="0" w:color="000000"/>
              <w:left w:val="single" w:sz="4" w:space="0" w:color="000000"/>
              <w:bottom w:val="single" w:sz="4" w:space="0" w:color="000000"/>
              <w:right w:val="single" w:sz="4" w:space="0" w:color="000000"/>
            </w:tcBorders>
          </w:tcPr>
          <w:p w14:paraId="6F526B30" w14:textId="77777777" w:rsidR="003F6505" w:rsidRPr="0076798F" w:rsidRDefault="00325422" w:rsidP="003F6505">
            <w:pPr>
              <w:spacing w:after="120"/>
              <w:rPr>
                <w:bCs/>
                <w:sz w:val="20"/>
                <w:szCs w:val="20"/>
                <w:lang w:val="en-US"/>
              </w:rPr>
            </w:pPr>
            <w:r w:rsidRPr="004D621E">
              <w:t xml:space="preserve"> </w:t>
            </w:r>
            <w:r w:rsidR="003F6505" w:rsidRPr="0076798F">
              <w:rPr>
                <w:bCs/>
                <w:sz w:val="20"/>
                <w:szCs w:val="20"/>
                <w:u w:val="single"/>
                <w:lang w:val="en-US"/>
              </w:rPr>
              <w:t>COURSE BOOK:</w:t>
            </w:r>
          </w:p>
          <w:p w14:paraId="47E7016E" w14:textId="77777777" w:rsidR="003F6505" w:rsidRPr="0076798F" w:rsidRDefault="003F6505" w:rsidP="003F6505">
            <w:pPr>
              <w:numPr>
                <w:ilvl w:val="0"/>
                <w:numId w:val="6"/>
              </w:numPr>
              <w:spacing w:before="50" w:after="50" w:line="240" w:lineRule="auto"/>
              <w:rPr>
                <w:sz w:val="20"/>
                <w:szCs w:val="20"/>
                <w:lang w:val="en-US"/>
              </w:rPr>
            </w:pPr>
            <w:r w:rsidRPr="0076798F">
              <w:rPr>
                <w:sz w:val="20"/>
                <w:szCs w:val="20"/>
                <w:lang w:val="en-US"/>
              </w:rPr>
              <w:t>Solomon M. (2015) Consumer behavior (12</w:t>
            </w:r>
            <w:r w:rsidRPr="0076798F">
              <w:rPr>
                <w:sz w:val="20"/>
                <w:szCs w:val="20"/>
                <w:vertAlign w:val="superscript"/>
                <w:lang w:val="en-US"/>
              </w:rPr>
              <w:t>th</w:t>
            </w:r>
            <w:r w:rsidRPr="0076798F">
              <w:rPr>
                <w:sz w:val="20"/>
                <w:szCs w:val="20"/>
                <w:lang w:val="en-US"/>
              </w:rPr>
              <w:t xml:space="preserve"> ed.), Boston: Pearson</w:t>
            </w:r>
          </w:p>
          <w:p w14:paraId="042EAF82" w14:textId="77777777" w:rsidR="003F6505" w:rsidRPr="0076798F" w:rsidRDefault="003F6505" w:rsidP="003F6505">
            <w:pPr>
              <w:spacing w:before="120" w:after="120"/>
              <w:rPr>
                <w:bCs/>
                <w:sz w:val="20"/>
                <w:szCs w:val="20"/>
                <w:lang w:val="en-US"/>
              </w:rPr>
            </w:pPr>
            <w:r w:rsidRPr="0076798F">
              <w:rPr>
                <w:bCs/>
                <w:sz w:val="20"/>
                <w:szCs w:val="20"/>
                <w:u w:val="single"/>
                <w:lang w:val="en-US"/>
              </w:rPr>
              <w:t>COMPLEMENTARY READING:</w:t>
            </w:r>
          </w:p>
          <w:p w14:paraId="0E0FB9D7" w14:textId="77777777" w:rsidR="003F6505" w:rsidRPr="0076798F" w:rsidRDefault="003F6505" w:rsidP="003F6505">
            <w:pPr>
              <w:numPr>
                <w:ilvl w:val="0"/>
                <w:numId w:val="6"/>
              </w:numPr>
              <w:spacing w:after="0" w:line="240" w:lineRule="auto"/>
              <w:rPr>
                <w:bCs/>
                <w:sz w:val="20"/>
                <w:szCs w:val="20"/>
                <w:lang w:val="en-US"/>
              </w:rPr>
            </w:pPr>
            <w:r w:rsidRPr="0076798F">
              <w:rPr>
                <w:sz w:val="20"/>
                <w:szCs w:val="20"/>
                <w:lang w:val="en-US"/>
              </w:rPr>
              <w:t>Hoyer W., MacInnis, D., Pieters R.(2018). Consumer Behavior (7</w:t>
            </w:r>
            <w:r w:rsidRPr="0076798F">
              <w:rPr>
                <w:sz w:val="20"/>
                <w:szCs w:val="20"/>
                <w:vertAlign w:val="superscript"/>
                <w:lang w:val="en-US"/>
              </w:rPr>
              <w:t>th</w:t>
            </w:r>
            <w:r w:rsidRPr="0076798F">
              <w:rPr>
                <w:sz w:val="20"/>
                <w:szCs w:val="20"/>
                <w:lang w:val="en-US"/>
              </w:rPr>
              <w:t xml:space="preserve"> ed., Cenagage Learning</w:t>
            </w:r>
            <w:r w:rsidRPr="0076798F">
              <w:rPr>
                <w:bCs/>
                <w:sz w:val="20"/>
                <w:szCs w:val="20"/>
                <w:lang w:val="en-US"/>
              </w:rPr>
              <w:t xml:space="preserve"> </w:t>
            </w:r>
          </w:p>
          <w:p w14:paraId="0C5915A5" w14:textId="77777777" w:rsidR="003F6505" w:rsidRPr="0076798F" w:rsidRDefault="003F6505" w:rsidP="003F6505">
            <w:pPr>
              <w:numPr>
                <w:ilvl w:val="0"/>
                <w:numId w:val="6"/>
              </w:numPr>
              <w:spacing w:before="50" w:after="50" w:line="240" w:lineRule="auto"/>
              <w:rPr>
                <w:sz w:val="20"/>
                <w:szCs w:val="20"/>
                <w:lang w:val="en-US"/>
              </w:rPr>
            </w:pPr>
            <w:r w:rsidRPr="0076798F">
              <w:rPr>
                <w:sz w:val="20"/>
                <w:szCs w:val="20"/>
                <w:lang w:val="en-US"/>
              </w:rPr>
              <w:lastRenderedPageBreak/>
              <w:t>Evans, M., Jamal, A., Foxall, G. (2011). Consumer Behaviour (2</w:t>
            </w:r>
            <w:r w:rsidRPr="0076798F">
              <w:rPr>
                <w:sz w:val="20"/>
                <w:szCs w:val="20"/>
                <w:vertAlign w:val="superscript"/>
                <w:lang w:val="en-US"/>
              </w:rPr>
              <w:t>nd</w:t>
            </w:r>
            <w:r w:rsidRPr="0076798F">
              <w:rPr>
                <w:sz w:val="20"/>
                <w:szCs w:val="20"/>
                <w:lang w:val="en-US"/>
              </w:rPr>
              <w:t xml:space="preserve">  ed.). New York: Wiley.</w:t>
            </w:r>
          </w:p>
          <w:p w14:paraId="1FA68481" w14:textId="77777777" w:rsidR="00325422" w:rsidRPr="004D621E" w:rsidRDefault="00325422" w:rsidP="00883FAD">
            <w:pPr>
              <w:spacing w:after="0" w:line="276" w:lineRule="auto"/>
              <w:ind w:left="1" w:firstLine="0"/>
            </w:pPr>
          </w:p>
        </w:tc>
      </w:tr>
      <w:tr w:rsidR="00325422" w:rsidRPr="004D621E" w14:paraId="390E4910"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lastRenderedPageBreak/>
              <w:t>Group limit</w:t>
            </w:r>
            <w:r w:rsidR="00325422" w:rsidRPr="004D621E">
              <w:t xml:space="preserve"> </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76798F">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Time span</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76798F">
        <w:trPr>
          <w:trHeight w:val="215"/>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3EEE" w14:textId="77777777" w:rsidR="00BF4293" w:rsidRDefault="00BF4293" w:rsidP="006F4F7C">
      <w:pPr>
        <w:spacing w:after="0" w:line="240" w:lineRule="auto"/>
      </w:pPr>
      <w:r>
        <w:separator/>
      </w:r>
    </w:p>
  </w:endnote>
  <w:endnote w:type="continuationSeparator" w:id="0">
    <w:p w14:paraId="3C96DA86" w14:textId="77777777" w:rsidR="00BF4293" w:rsidRDefault="00BF4293"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35EE" w14:textId="77777777" w:rsidR="00BF4293" w:rsidRDefault="00BF4293" w:rsidP="006F4F7C">
      <w:pPr>
        <w:spacing w:after="0" w:line="240" w:lineRule="auto"/>
      </w:pPr>
      <w:r>
        <w:separator/>
      </w:r>
    </w:p>
  </w:footnote>
  <w:footnote w:type="continuationSeparator" w:id="0">
    <w:p w14:paraId="1F0E81EA" w14:textId="77777777" w:rsidR="00BF4293" w:rsidRDefault="00BF4293"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432"/>
    <w:multiLevelType w:val="hybridMultilevel"/>
    <w:tmpl w:val="229CF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833F88"/>
    <w:multiLevelType w:val="hybridMultilevel"/>
    <w:tmpl w:val="2B9423C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 w15:restartNumberingAfterBreak="0">
    <w:nsid w:val="24866259"/>
    <w:multiLevelType w:val="hybridMultilevel"/>
    <w:tmpl w:val="B66CF1D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2C27208C"/>
    <w:multiLevelType w:val="hybridMultilevel"/>
    <w:tmpl w:val="FFB09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B01466"/>
    <w:multiLevelType w:val="hybridMultilevel"/>
    <w:tmpl w:val="1018A5B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69FD5E65"/>
    <w:multiLevelType w:val="hybridMultilevel"/>
    <w:tmpl w:val="4AAE4830"/>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6E9A5802"/>
    <w:multiLevelType w:val="hybridMultilevel"/>
    <w:tmpl w:val="FFB092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22"/>
    <w:rsid w:val="00325422"/>
    <w:rsid w:val="003F6505"/>
    <w:rsid w:val="0041308D"/>
    <w:rsid w:val="004D621E"/>
    <w:rsid w:val="006F4F7C"/>
    <w:rsid w:val="0072666F"/>
    <w:rsid w:val="0076798F"/>
    <w:rsid w:val="007F5934"/>
    <w:rsid w:val="008B02E1"/>
    <w:rsid w:val="009B58BF"/>
    <w:rsid w:val="00B06052"/>
    <w:rsid w:val="00B43875"/>
    <w:rsid w:val="00BF4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paragraph" w:styleId="Akapitzlist">
    <w:name w:val="List Paragraph"/>
    <w:basedOn w:val="Normalny"/>
    <w:uiPriority w:val="34"/>
    <w:qFormat/>
    <w:rsid w:val="0072666F"/>
    <w:pPr>
      <w:spacing w:after="160" w:line="259" w:lineRule="auto"/>
      <w:ind w:left="720" w:firstLine="0"/>
      <w:contextualSpacing/>
    </w:pPr>
    <w:rPr>
      <w:rFonts w:asciiTheme="minorHAnsi" w:eastAsiaTheme="minorHAnsi" w:hAnsiTheme="minorHAnsi" w:cstheme="minorBidi"/>
      <w:color w:val="auto"/>
      <w:lang w:eastAsia="en-US"/>
    </w:rPr>
  </w:style>
  <w:style w:type="paragraph" w:styleId="Tekstpodstawowy2">
    <w:name w:val="Body Text 2"/>
    <w:basedOn w:val="Normalny"/>
    <w:link w:val="Tekstpodstawowy2Znak"/>
    <w:rsid w:val="00B43875"/>
    <w:pPr>
      <w:spacing w:after="0" w:line="240" w:lineRule="auto"/>
      <w:ind w:left="0" w:firstLine="0"/>
      <w:jc w:val="both"/>
    </w:pPr>
    <w:rPr>
      <w:rFonts w:ascii="Times New Roman" w:eastAsia="Times New Roman" w:hAnsi="Times New Roman" w:cs="Times New Roman"/>
      <w:b/>
      <w:color w:val="auto"/>
      <w:sz w:val="24"/>
      <w:szCs w:val="20"/>
    </w:rPr>
  </w:style>
  <w:style w:type="character" w:customStyle="1" w:styleId="Tekstpodstawowy2Znak">
    <w:name w:val="Tekst podstawowy 2 Znak"/>
    <w:basedOn w:val="Domylnaczcionkaakapitu"/>
    <w:link w:val="Tekstpodstawowy2"/>
    <w:rsid w:val="00B43875"/>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6127</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2023-08-21T11:13:00Z</dcterms:created>
  <dcterms:modified xsi:type="dcterms:W3CDTF">2023-09-19T07:16:00Z</dcterms:modified>
</cp:coreProperties>
</file>